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PARTICULAR DEL COMISIONADO JOSÉ GUADALUPE LUNA HERNÁNDEZ EN EL RECURSO DE REVISIÓN </w:t>
      </w:r>
      <w:r w:rsidR="009615A4">
        <w:rPr>
          <w:rFonts w:ascii="Palatino Linotype" w:hAnsi="Palatino Linotype" w:cs="Arial"/>
          <w:b/>
          <w:sz w:val="24"/>
          <w:szCs w:val="24"/>
        </w:rPr>
        <w:t>02852</w:t>
      </w:r>
      <w:r w:rsidR="00625340" w:rsidRPr="00CB2E7B">
        <w:rPr>
          <w:rFonts w:ascii="Palatino Linotype" w:hAnsi="Palatino Linotype" w:cs="Arial"/>
          <w:b/>
          <w:sz w:val="24"/>
          <w:szCs w:val="24"/>
        </w:rPr>
        <w:t>/INFOEM/IP/RR/201</w:t>
      </w:r>
      <w:r w:rsidR="00C142A8" w:rsidRPr="00CB2E7B">
        <w:rPr>
          <w:rFonts w:ascii="Palatino Linotype" w:hAnsi="Palatino Linotype" w:cs="Arial"/>
          <w:b/>
          <w:sz w:val="24"/>
          <w:szCs w:val="24"/>
        </w:rPr>
        <w:t>8</w:t>
      </w:r>
      <w:r w:rsidR="00D42114" w:rsidRPr="00CB2E7B">
        <w:rPr>
          <w:rFonts w:ascii="Palatino Linotype" w:hAnsi="Palatino Linotype" w:cs="Arial"/>
          <w:b/>
          <w:sz w:val="24"/>
          <w:szCs w:val="24"/>
        </w:rPr>
        <w:t>.</w:t>
      </w:r>
    </w:p>
    <w:p w:rsidR="00625340" w:rsidRPr="00CB2E7B" w:rsidRDefault="00625340" w:rsidP="00625340">
      <w:pPr>
        <w:spacing w:after="0" w:line="360" w:lineRule="auto"/>
        <w:jc w:val="both"/>
        <w:rPr>
          <w:rFonts w:ascii="Palatino Linotype" w:hAnsi="Palatino Linotype" w:cs="Arial"/>
          <w:b/>
          <w:sz w:val="24"/>
          <w:szCs w:val="24"/>
        </w:rPr>
      </w:pPr>
    </w:p>
    <w:p w:rsidR="006773C0" w:rsidRPr="00CB2E7B" w:rsidRDefault="002D5499" w:rsidP="00625340">
      <w:pPr>
        <w:spacing w:after="0" w:line="360" w:lineRule="auto"/>
        <w:jc w:val="both"/>
        <w:rPr>
          <w:rFonts w:ascii="Palatino Linotype" w:hAnsi="Palatino Linotype" w:cs="Arial"/>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F7333F" w:rsidRPr="00CB2E7B">
        <w:rPr>
          <w:rFonts w:ascii="Palatino Linotype" w:hAnsi="Palatino Linotype" w:cs="Arial"/>
          <w:b/>
          <w:sz w:val="24"/>
          <w:szCs w:val="24"/>
        </w:rPr>
        <w:t xml:space="preserve"> </w:t>
      </w:r>
      <w:r w:rsidR="00E419FE" w:rsidRPr="00CB2E7B">
        <w:rPr>
          <w:rFonts w:ascii="Palatino Linotype" w:hAnsi="Palatino Linotype" w:cs="Arial"/>
          <w:sz w:val="24"/>
          <w:szCs w:val="24"/>
        </w:rPr>
        <w:t>E</w:t>
      </w:r>
      <w:r w:rsidR="00DF36B0" w:rsidRPr="00CB2E7B">
        <w:rPr>
          <w:rFonts w:ascii="Palatino Linotype" w:hAnsi="Palatino Linotype" w:cs="Arial"/>
          <w:sz w:val="24"/>
          <w:szCs w:val="24"/>
        </w:rPr>
        <w:t>l presente voto</w:t>
      </w:r>
      <w:r w:rsidR="00DB6CC1" w:rsidRPr="00CB2E7B">
        <w:rPr>
          <w:rFonts w:ascii="Palatino Linotype" w:hAnsi="Palatino Linotype" w:cs="Arial"/>
          <w:sz w:val="24"/>
          <w:szCs w:val="24"/>
        </w:rPr>
        <w:t xml:space="preserve"> particular</w:t>
      </w:r>
      <w:r w:rsidR="00DF36B0" w:rsidRPr="00CB2E7B">
        <w:rPr>
          <w:rFonts w:ascii="Palatino Linotype" w:hAnsi="Palatino Linotype" w:cs="Arial"/>
          <w:sz w:val="24"/>
          <w:szCs w:val="24"/>
        </w:rPr>
        <w:t xml:space="preserve"> </w:t>
      </w:r>
      <w:r w:rsidR="00DB6CC1" w:rsidRPr="00CB2E7B">
        <w:rPr>
          <w:rFonts w:ascii="Palatino Linotype" w:hAnsi="Palatino Linotype" w:cs="Arial"/>
          <w:sz w:val="24"/>
          <w:szCs w:val="24"/>
        </w:rPr>
        <w:t>señala</w:t>
      </w:r>
      <w:r w:rsidR="005F53BB" w:rsidRPr="00CB2E7B">
        <w:rPr>
          <w:rFonts w:ascii="Palatino Linotype" w:hAnsi="Palatino Linotype" w:cs="Arial"/>
          <w:sz w:val="24"/>
          <w:szCs w:val="24"/>
        </w:rPr>
        <w:t xml:space="preserve"> que</w:t>
      </w:r>
      <w:r w:rsidR="00F7333F" w:rsidRPr="00CB2E7B">
        <w:rPr>
          <w:rFonts w:ascii="Palatino Linotype" w:hAnsi="Palatino Linotype" w:cs="Arial"/>
          <w:b/>
          <w:sz w:val="24"/>
          <w:szCs w:val="24"/>
        </w:rPr>
        <w:t xml:space="preserve"> </w:t>
      </w:r>
      <w:r w:rsidR="00DF36B0" w:rsidRPr="00CB2E7B">
        <w:rPr>
          <w:rFonts w:ascii="Palatino Linotype" w:hAnsi="Palatino Linotype" w:cs="Arial"/>
          <w:sz w:val="24"/>
          <w:szCs w:val="24"/>
        </w:rPr>
        <w:t xml:space="preserve">el riesgo </w:t>
      </w:r>
      <w:r w:rsidR="005F53BB" w:rsidRPr="00CB2E7B">
        <w:rPr>
          <w:rFonts w:ascii="Palatino Linotype" w:hAnsi="Palatino Linotype" w:cs="Arial"/>
          <w:sz w:val="24"/>
          <w:szCs w:val="24"/>
        </w:rPr>
        <w:t>generado al</w:t>
      </w:r>
      <w:r w:rsidR="00DF36B0" w:rsidRPr="00CB2E7B">
        <w:rPr>
          <w:rFonts w:ascii="Palatino Linotype" w:hAnsi="Palatino Linotype" w:cs="Arial"/>
          <w:sz w:val="24"/>
          <w:szCs w:val="24"/>
        </w:rPr>
        <w:t xml:space="preserve"> suplir las deficiencias de los Sujetos Obligados e</w:t>
      </w:r>
      <w:r w:rsidR="005F53BB" w:rsidRPr="00CB2E7B">
        <w:rPr>
          <w:rFonts w:ascii="Palatino Linotype" w:hAnsi="Palatino Linotype" w:cs="Arial"/>
          <w:sz w:val="24"/>
          <w:szCs w:val="24"/>
        </w:rPr>
        <w:t>s mayor al beneficio brindado</w:t>
      </w:r>
      <w:r w:rsidR="00DF36B0" w:rsidRPr="00CB2E7B">
        <w:rPr>
          <w:rFonts w:ascii="Palatino Linotype" w:hAnsi="Palatino Linotype" w:cs="Arial"/>
          <w:sz w:val="24"/>
          <w:szCs w:val="24"/>
        </w:rPr>
        <w:t>, puesto que considero firmemente que</w:t>
      </w:r>
      <w:r w:rsidR="00E419FE" w:rsidRPr="00CB2E7B">
        <w:rPr>
          <w:rFonts w:ascii="Palatino Linotype" w:hAnsi="Palatino Linotype" w:cs="Arial"/>
          <w:sz w:val="24"/>
          <w:szCs w:val="24"/>
        </w:rPr>
        <w:t>,</w:t>
      </w:r>
      <w:r w:rsidR="00DF36B0" w:rsidRPr="00CB2E7B">
        <w:rPr>
          <w:rFonts w:ascii="Palatino Linotype" w:hAnsi="Palatino Linotype" w:cs="Arial"/>
          <w:sz w:val="24"/>
          <w:szCs w:val="24"/>
        </w:rPr>
        <w:t xml:space="preserve"> con dichas acci</w:t>
      </w:r>
      <w:r w:rsidR="00C142A8" w:rsidRPr="00CB2E7B">
        <w:rPr>
          <w:rFonts w:ascii="Palatino Linotype" w:hAnsi="Palatino Linotype" w:cs="Arial"/>
          <w:sz w:val="24"/>
          <w:szCs w:val="24"/>
        </w:rPr>
        <w:t>ones</w:t>
      </w:r>
      <w:r w:rsidR="004074C0" w:rsidRPr="00CB2E7B">
        <w:rPr>
          <w:rFonts w:ascii="Palatino Linotype" w:hAnsi="Palatino Linotype" w:cs="Arial"/>
          <w:sz w:val="24"/>
          <w:szCs w:val="24"/>
        </w:rPr>
        <w:t xml:space="preserve"> se consiente la falta de compromi</w:t>
      </w:r>
      <w:r w:rsidR="007D69A7" w:rsidRPr="00CB2E7B">
        <w:rPr>
          <w:rFonts w:ascii="Palatino Linotype" w:hAnsi="Palatino Linotype" w:cs="Arial"/>
          <w:sz w:val="24"/>
          <w:szCs w:val="24"/>
        </w:rPr>
        <w:t>so por parte de las autoridades para responder de manera completa y oportuna</w:t>
      </w:r>
      <w:r w:rsidR="00DF36B0" w:rsidRPr="00CB2E7B">
        <w:rPr>
          <w:rFonts w:ascii="Palatino Linotype" w:hAnsi="Palatino Linotype" w:cs="Arial"/>
          <w:sz w:val="24"/>
          <w:szCs w:val="24"/>
        </w:rPr>
        <w:t xml:space="preserve"> las solicitudes </w:t>
      </w:r>
      <w:r w:rsidR="00C142A8" w:rsidRPr="00CB2E7B">
        <w:rPr>
          <w:rFonts w:ascii="Palatino Linotype" w:hAnsi="Palatino Linotype" w:cs="Arial"/>
          <w:sz w:val="24"/>
          <w:szCs w:val="24"/>
        </w:rPr>
        <w:t>de acceso a la</w:t>
      </w:r>
      <w:r w:rsidR="00DF36B0" w:rsidRPr="00CB2E7B">
        <w:rPr>
          <w:rFonts w:ascii="Palatino Linotype" w:hAnsi="Palatino Linotype" w:cs="Arial"/>
          <w:sz w:val="24"/>
          <w:szCs w:val="24"/>
        </w:rPr>
        <w:t xml:space="preserve"> información, </w:t>
      </w:r>
      <w:r w:rsidR="00E419FE" w:rsidRPr="00CB2E7B">
        <w:rPr>
          <w:rFonts w:ascii="Palatino Linotype" w:hAnsi="Palatino Linotype" w:cs="Arial"/>
          <w:sz w:val="24"/>
          <w:szCs w:val="24"/>
        </w:rPr>
        <w:t>y en consecuencia, se provoca</w:t>
      </w:r>
      <w:r w:rsidR="00DF36B0" w:rsidRPr="00CB2E7B">
        <w:rPr>
          <w:rFonts w:ascii="Palatino Linotype" w:hAnsi="Palatino Linotype" w:cs="Arial"/>
          <w:sz w:val="24"/>
          <w:szCs w:val="24"/>
        </w:rPr>
        <w:t xml:space="preserve"> también, que en </w:t>
      </w:r>
      <w:r w:rsidR="00F9751B" w:rsidRPr="00CB2E7B">
        <w:rPr>
          <w:rFonts w:ascii="Palatino Linotype" w:hAnsi="Palatino Linotype" w:cs="Arial"/>
          <w:sz w:val="24"/>
          <w:szCs w:val="24"/>
        </w:rPr>
        <w:t>actos</w:t>
      </w:r>
      <w:r w:rsidR="00DF36B0" w:rsidRPr="00CB2E7B">
        <w:rPr>
          <w:rFonts w:ascii="Palatino Linotype" w:hAnsi="Palatino Linotype" w:cs="Arial"/>
          <w:sz w:val="24"/>
          <w:szCs w:val="24"/>
        </w:rPr>
        <w:t xml:space="preserve"> </w:t>
      </w:r>
      <w:r w:rsidR="007D69A7" w:rsidRPr="00CB2E7B">
        <w:rPr>
          <w:rFonts w:ascii="Palatino Linotype" w:hAnsi="Palatino Linotype" w:cs="Arial"/>
          <w:sz w:val="24"/>
          <w:szCs w:val="24"/>
        </w:rPr>
        <w:t xml:space="preserve">futuros se omita </w:t>
      </w:r>
      <w:r w:rsidR="004C273D" w:rsidRPr="00CB2E7B">
        <w:rPr>
          <w:rFonts w:ascii="Palatino Linotype" w:hAnsi="Palatino Linotype" w:cs="Arial"/>
          <w:sz w:val="24"/>
          <w:szCs w:val="24"/>
        </w:rPr>
        <w:t>cumplir</w:t>
      </w:r>
      <w:r w:rsidR="00C142A8" w:rsidRPr="00CB2E7B">
        <w:rPr>
          <w:rFonts w:ascii="Palatino Linotype" w:hAnsi="Palatino Linotype" w:cs="Arial"/>
          <w:sz w:val="24"/>
          <w:szCs w:val="24"/>
        </w:rPr>
        <w:t xml:space="preserve"> con la obligación de seguir el procedimiento que establece </w:t>
      </w:r>
      <w:r w:rsidR="00DF36B0" w:rsidRPr="00CB2E7B">
        <w:rPr>
          <w:rFonts w:ascii="Palatino Linotype" w:hAnsi="Palatino Linotype" w:cs="Arial"/>
          <w:sz w:val="24"/>
          <w:szCs w:val="24"/>
        </w:rPr>
        <w:t>la Ley de Transparencia y Acceso a la Información Pública del Estado de México y Municipios</w:t>
      </w:r>
      <w:r w:rsidR="004C273D" w:rsidRPr="00CB2E7B">
        <w:rPr>
          <w:rFonts w:ascii="Palatino Linotype" w:hAnsi="Palatino Linotype" w:cs="Arial"/>
          <w:sz w:val="24"/>
          <w:szCs w:val="24"/>
        </w:rPr>
        <w:t xml:space="preserve"> para dar cumplimiento al mandato constitucional.</w:t>
      </w:r>
    </w:p>
    <w:p w:rsidR="00C54DC0" w:rsidRPr="00CB2E7B" w:rsidRDefault="00C54DC0" w:rsidP="00C54DC0">
      <w:pPr>
        <w:spacing w:after="0" w:line="360" w:lineRule="auto"/>
        <w:jc w:val="both"/>
        <w:rPr>
          <w:rFonts w:ascii="Palatino Linotype" w:hAnsi="Palatino Linotype" w:cs="Arial"/>
          <w:sz w:val="24"/>
          <w:szCs w:val="24"/>
        </w:rPr>
      </w:pPr>
    </w:p>
    <w:p w:rsidR="00C54DC0" w:rsidRPr="00CB2E7B" w:rsidRDefault="00C54DC0" w:rsidP="00625340">
      <w:pPr>
        <w:spacing w:after="0" w:line="360" w:lineRule="auto"/>
        <w:jc w:val="both"/>
        <w:rPr>
          <w:rFonts w:ascii="Palatino Linotype" w:eastAsia="Calibri" w:hAnsi="Palatino Linotype" w:cs="Arial"/>
          <w:sz w:val="24"/>
          <w:szCs w:val="24"/>
        </w:rPr>
      </w:pPr>
    </w:p>
    <w:p w:rsidR="002D2CD0" w:rsidRPr="00CB2E7B" w:rsidRDefault="002D2CD0" w:rsidP="00625340">
      <w:pPr>
        <w:spacing w:after="0" w:line="360" w:lineRule="auto"/>
        <w:jc w:val="both"/>
        <w:rPr>
          <w:rFonts w:ascii="Palatino Linotype" w:eastAsia="Calibri" w:hAnsi="Palatino Linotype" w:cs="Arial"/>
          <w:sz w:val="24"/>
          <w:szCs w:val="24"/>
        </w:rPr>
      </w:pPr>
    </w:p>
    <w:p w:rsidR="002D2CD0" w:rsidRPr="00CB2E7B" w:rsidRDefault="002D2CD0" w:rsidP="00625340">
      <w:pPr>
        <w:spacing w:after="0" w:line="360" w:lineRule="auto"/>
        <w:jc w:val="both"/>
        <w:rPr>
          <w:rFonts w:ascii="Palatino Linotype" w:eastAsia="Calibri" w:hAnsi="Palatino Linotype" w:cs="Arial"/>
          <w:sz w:val="24"/>
          <w:szCs w:val="24"/>
        </w:rPr>
      </w:pPr>
    </w:p>
    <w:p w:rsidR="002D2CD0" w:rsidRPr="00CB2E7B" w:rsidRDefault="002D2CD0" w:rsidP="00625340">
      <w:pPr>
        <w:spacing w:after="0" w:line="360" w:lineRule="auto"/>
        <w:jc w:val="both"/>
        <w:rPr>
          <w:rFonts w:ascii="Palatino Linotype" w:eastAsia="Calibri" w:hAnsi="Palatino Linotype" w:cs="Arial"/>
          <w:sz w:val="24"/>
          <w:szCs w:val="24"/>
        </w:rPr>
      </w:pPr>
    </w:p>
    <w:p w:rsidR="002D2CD0" w:rsidRPr="00CB2E7B" w:rsidRDefault="002D2CD0" w:rsidP="00625340">
      <w:pPr>
        <w:spacing w:after="0" w:line="360" w:lineRule="auto"/>
        <w:jc w:val="both"/>
        <w:rPr>
          <w:rFonts w:ascii="Palatino Linotype" w:eastAsia="Calibri" w:hAnsi="Palatino Linotype" w:cs="Arial"/>
          <w:sz w:val="24"/>
          <w:szCs w:val="24"/>
        </w:rPr>
      </w:pPr>
    </w:p>
    <w:p w:rsidR="002D2CD0" w:rsidRPr="00CB2E7B" w:rsidRDefault="002D2CD0" w:rsidP="00625340">
      <w:pPr>
        <w:spacing w:after="0" w:line="360" w:lineRule="auto"/>
        <w:jc w:val="both"/>
        <w:rPr>
          <w:rFonts w:ascii="Palatino Linotype" w:hAnsi="Palatino Linotype" w:cs="Arial"/>
          <w:b/>
          <w:sz w:val="24"/>
          <w:szCs w:val="24"/>
        </w:rPr>
      </w:pPr>
    </w:p>
    <w:p w:rsidR="00A2127D" w:rsidRPr="00CB2E7B" w:rsidRDefault="00A2127D" w:rsidP="00625340">
      <w:pPr>
        <w:spacing w:after="0" w:line="360" w:lineRule="auto"/>
        <w:jc w:val="both"/>
        <w:rPr>
          <w:rFonts w:ascii="Palatino Linotype" w:hAnsi="Palatino Linotype" w:cs="Arial"/>
          <w:b/>
          <w:sz w:val="24"/>
          <w:szCs w:val="24"/>
        </w:rPr>
      </w:pPr>
    </w:p>
    <w:p w:rsidR="00A2127D" w:rsidRPr="00CB2E7B" w:rsidRDefault="00A2127D" w:rsidP="00625340">
      <w:pPr>
        <w:spacing w:after="0" w:line="360" w:lineRule="auto"/>
        <w:jc w:val="both"/>
        <w:rPr>
          <w:rFonts w:ascii="Palatino Linotype" w:hAnsi="Palatino Linotype" w:cs="Arial"/>
          <w:b/>
          <w:sz w:val="24"/>
          <w:szCs w:val="24"/>
        </w:rPr>
      </w:pPr>
    </w:p>
    <w:p w:rsidR="00A2127D" w:rsidRPr="00CB2E7B" w:rsidRDefault="00A2127D" w:rsidP="00625340">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CB2E7B" w:rsidRDefault="00625340">
          <w:pPr>
            <w:pStyle w:val="TtulodeTDC"/>
            <w:rPr>
              <w:szCs w:val="24"/>
            </w:rPr>
          </w:pPr>
          <w:r w:rsidRPr="00CB2E7B">
            <w:rPr>
              <w:szCs w:val="24"/>
              <w:lang w:val="es-ES"/>
            </w:rPr>
            <w:t>Índice</w:t>
          </w:r>
        </w:p>
        <w:p w:rsidR="009615A4"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527987649" w:history="1">
            <w:r w:rsidR="009615A4" w:rsidRPr="00111237">
              <w:rPr>
                <w:rStyle w:val="Hipervnculo"/>
                <w:noProof/>
              </w:rPr>
              <w:t>A.</w:t>
            </w:r>
            <w:r w:rsidR="009615A4">
              <w:rPr>
                <w:rFonts w:eastAsiaTheme="minorEastAsia"/>
                <w:noProof/>
                <w:lang w:eastAsia="es-MX"/>
              </w:rPr>
              <w:tab/>
            </w:r>
            <w:r w:rsidR="009615A4" w:rsidRPr="00111237">
              <w:rPr>
                <w:rStyle w:val="Hipervnculo"/>
                <w:noProof/>
              </w:rPr>
              <w:t>Consideraciones Generales.</w:t>
            </w:r>
            <w:r w:rsidR="009615A4">
              <w:rPr>
                <w:noProof/>
                <w:webHidden/>
              </w:rPr>
              <w:tab/>
            </w:r>
            <w:r w:rsidR="009615A4">
              <w:rPr>
                <w:noProof/>
                <w:webHidden/>
              </w:rPr>
              <w:fldChar w:fldCharType="begin"/>
            </w:r>
            <w:r w:rsidR="009615A4">
              <w:rPr>
                <w:noProof/>
                <w:webHidden/>
              </w:rPr>
              <w:instrText xml:space="preserve"> PAGEREF _Toc527987649 \h </w:instrText>
            </w:r>
            <w:r w:rsidR="009615A4">
              <w:rPr>
                <w:noProof/>
                <w:webHidden/>
              </w:rPr>
            </w:r>
            <w:r w:rsidR="009615A4">
              <w:rPr>
                <w:noProof/>
                <w:webHidden/>
              </w:rPr>
              <w:fldChar w:fldCharType="separate"/>
            </w:r>
            <w:r w:rsidR="00B703E9">
              <w:rPr>
                <w:noProof/>
                <w:webHidden/>
              </w:rPr>
              <w:t>2</w:t>
            </w:r>
            <w:r w:rsidR="009615A4">
              <w:rPr>
                <w:noProof/>
                <w:webHidden/>
              </w:rPr>
              <w:fldChar w:fldCharType="end"/>
            </w:r>
          </w:hyperlink>
        </w:p>
        <w:p w:rsidR="009615A4" w:rsidRDefault="00860006">
          <w:pPr>
            <w:pStyle w:val="TDC1"/>
            <w:tabs>
              <w:tab w:val="left" w:pos="440"/>
              <w:tab w:val="right" w:leader="dot" w:pos="8828"/>
            </w:tabs>
            <w:rPr>
              <w:rFonts w:eastAsiaTheme="minorEastAsia"/>
              <w:noProof/>
              <w:lang w:eastAsia="es-MX"/>
            </w:rPr>
          </w:pPr>
          <w:hyperlink w:anchor="_Toc527987650" w:history="1">
            <w:r w:rsidR="009615A4" w:rsidRPr="00111237">
              <w:rPr>
                <w:rStyle w:val="Hipervnculo"/>
                <w:noProof/>
              </w:rPr>
              <w:t>B.</w:t>
            </w:r>
            <w:r w:rsidR="009615A4">
              <w:rPr>
                <w:rFonts w:eastAsiaTheme="minorEastAsia"/>
                <w:noProof/>
                <w:lang w:eastAsia="es-MX"/>
              </w:rPr>
              <w:tab/>
            </w:r>
            <w:r w:rsidR="009615A4" w:rsidRPr="00111237">
              <w:rPr>
                <w:rStyle w:val="Hipervnculo"/>
                <w:noProof/>
              </w:rPr>
              <w:t>De la Suplencia a la deficiencia del Sujeto Obligado</w:t>
            </w:r>
            <w:r w:rsidR="009615A4">
              <w:rPr>
                <w:noProof/>
                <w:webHidden/>
              </w:rPr>
              <w:tab/>
            </w:r>
            <w:r w:rsidR="009615A4">
              <w:rPr>
                <w:noProof/>
                <w:webHidden/>
              </w:rPr>
              <w:fldChar w:fldCharType="begin"/>
            </w:r>
            <w:r w:rsidR="009615A4">
              <w:rPr>
                <w:noProof/>
                <w:webHidden/>
              </w:rPr>
              <w:instrText xml:space="preserve"> PAGEREF _Toc527987650 \h </w:instrText>
            </w:r>
            <w:r w:rsidR="009615A4">
              <w:rPr>
                <w:noProof/>
                <w:webHidden/>
              </w:rPr>
            </w:r>
            <w:r w:rsidR="009615A4">
              <w:rPr>
                <w:noProof/>
                <w:webHidden/>
              </w:rPr>
              <w:fldChar w:fldCharType="separate"/>
            </w:r>
            <w:r w:rsidR="00B703E9">
              <w:rPr>
                <w:noProof/>
                <w:webHidden/>
              </w:rPr>
              <w:t>3</w:t>
            </w:r>
            <w:r w:rsidR="009615A4">
              <w:rPr>
                <w:noProof/>
                <w:webHidden/>
              </w:rPr>
              <w:fldChar w:fldCharType="end"/>
            </w:r>
          </w:hyperlink>
        </w:p>
        <w:p w:rsidR="009615A4" w:rsidRDefault="00860006">
          <w:pPr>
            <w:pStyle w:val="TDC1"/>
            <w:tabs>
              <w:tab w:val="left" w:pos="440"/>
              <w:tab w:val="right" w:leader="dot" w:pos="8828"/>
            </w:tabs>
            <w:rPr>
              <w:rFonts w:eastAsiaTheme="minorEastAsia"/>
              <w:noProof/>
              <w:lang w:eastAsia="es-MX"/>
            </w:rPr>
          </w:pPr>
          <w:hyperlink w:anchor="_Toc527987651" w:history="1">
            <w:r w:rsidR="009615A4" w:rsidRPr="00111237">
              <w:rPr>
                <w:rStyle w:val="Hipervnculo"/>
                <w:noProof/>
              </w:rPr>
              <w:t>I.</w:t>
            </w:r>
            <w:r w:rsidR="009615A4">
              <w:rPr>
                <w:rFonts w:eastAsiaTheme="minorEastAsia"/>
                <w:noProof/>
                <w:lang w:eastAsia="es-MX"/>
              </w:rPr>
              <w:tab/>
            </w:r>
            <w:r w:rsidR="009615A4" w:rsidRPr="00111237">
              <w:rPr>
                <w:rStyle w:val="Hipervnculo"/>
                <w:noProof/>
              </w:rPr>
              <w:t>Del Procedimiento de Acceso a la Información Pública.</w:t>
            </w:r>
            <w:r w:rsidR="009615A4">
              <w:rPr>
                <w:noProof/>
                <w:webHidden/>
              </w:rPr>
              <w:tab/>
            </w:r>
            <w:r w:rsidR="009615A4">
              <w:rPr>
                <w:noProof/>
                <w:webHidden/>
              </w:rPr>
              <w:fldChar w:fldCharType="begin"/>
            </w:r>
            <w:r w:rsidR="009615A4">
              <w:rPr>
                <w:noProof/>
                <w:webHidden/>
              </w:rPr>
              <w:instrText xml:space="preserve"> PAGEREF _Toc527987651 \h </w:instrText>
            </w:r>
            <w:r w:rsidR="009615A4">
              <w:rPr>
                <w:noProof/>
                <w:webHidden/>
              </w:rPr>
            </w:r>
            <w:r w:rsidR="009615A4">
              <w:rPr>
                <w:noProof/>
                <w:webHidden/>
              </w:rPr>
              <w:fldChar w:fldCharType="separate"/>
            </w:r>
            <w:r w:rsidR="00B703E9">
              <w:rPr>
                <w:noProof/>
                <w:webHidden/>
              </w:rPr>
              <w:t>3</w:t>
            </w:r>
            <w:r w:rsidR="009615A4">
              <w:rPr>
                <w:noProof/>
                <w:webHidden/>
              </w:rPr>
              <w:fldChar w:fldCharType="end"/>
            </w:r>
          </w:hyperlink>
        </w:p>
        <w:p w:rsidR="009615A4" w:rsidRDefault="00860006">
          <w:pPr>
            <w:pStyle w:val="TDC1"/>
            <w:tabs>
              <w:tab w:val="left" w:pos="440"/>
              <w:tab w:val="right" w:leader="dot" w:pos="8828"/>
            </w:tabs>
            <w:rPr>
              <w:rFonts w:eastAsiaTheme="minorEastAsia"/>
              <w:noProof/>
              <w:lang w:eastAsia="es-MX"/>
            </w:rPr>
          </w:pPr>
          <w:hyperlink w:anchor="_Toc527987652" w:history="1">
            <w:r w:rsidR="009615A4" w:rsidRPr="00111237">
              <w:rPr>
                <w:rStyle w:val="Hipervnculo"/>
                <w:noProof/>
              </w:rPr>
              <w:t>II.</w:t>
            </w:r>
            <w:r w:rsidR="009615A4">
              <w:rPr>
                <w:rFonts w:eastAsiaTheme="minorEastAsia"/>
                <w:noProof/>
                <w:lang w:eastAsia="es-MX"/>
              </w:rPr>
              <w:tab/>
            </w:r>
            <w:r w:rsidR="009615A4" w:rsidRPr="00111237">
              <w:rPr>
                <w:rStyle w:val="Hipervnculo"/>
                <w:noProof/>
              </w:rPr>
              <w:t>De la Suplencia al Procedimiento de Acceso a la Información Pública.</w:t>
            </w:r>
            <w:r w:rsidR="009615A4">
              <w:rPr>
                <w:noProof/>
                <w:webHidden/>
              </w:rPr>
              <w:tab/>
            </w:r>
            <w:r w:rsidR="009615A4">
              <w:rPr>
                <w:noProof/>
                <w:webHidden/>
              </w:rPr>
              <w:fldChar w:fldCharType="begin"/>
            </w:r>
            <w:r w:rsidR="009615A4">
              <w:rPr>
                <w:noProof/>
                <w:webHidden/>
              </w:rPr>
              <w:instrText xml:space="preserve"> PAGEREF _Toc527987652 \h </w:instrText>
            </w:r>
            <w:r w:rsidR="009615A4">
              <w:rPr>
                <w:noProof/>
                <w:webHidden/>
              </w:rPr>
            </w:r>
            <w:r w:rsidR="009615A4">
              <w:rPr>
                <w:noProof/>
                <w:webHidden/>
              </w:rPr>
              <w:fldChar w:fldCharType="separate"/>
            </w:r>
            <w:r w:rsidR="00B703E9">
              <w:rPr>
                <w:noProof/>
                <w:webHidden/>
              </w:rPr>
              <w:t>5</w:t>
            </w:r>
            <w:r w:rsidR="009615A4">
              <w:rPr>
                <w:noProof/>
                <w:webHidden/>
              </w:rPr>
              <w:fldChar w:fldCharType="end"/>
            </w:r>
          </w:hyperlink>
        </w:p>
        <w:p w:rsidR="009615A4" w:rsidRDefault="00860006">
          <w:pPr>
            <w:pStyle w:val="TDC1"/>
            <w:tabs>
              <w:tab w:val="left" w:pos="660"/>
              <w:tab w:val="right" w:leader="dot" w:pos="8828"/>
            </w:tabs>
            <w:rPr>
              <w:rFonts w:eastAsiaTheme="minorEastAsia"/>
              <w:noProof/>
              <w:lang w:eastAsia="es-MX"/>
            </w:rPr>
          </w:pPr>
          <w:hyperlink w:anchor="_Toc527987653" w:history="1">
            <w:r w:rsidR="009615A4" w:rsidRPr="00111237">
              <w:rPr>
                <w:rStyle w:val="Hipervnculo"/>
                <w:noProof/>
              </w:rPr>
              <w:t>III.</w:t>
            </w:r>
            <w:r w:rsidR="009615A4">
              <w:rPr>
                <w:rFonts w:eastAsiaTheme="minorEastAsia"/>
                <w:noProof/>
                <w:lang w:eastAsia="es-MX"/>
              </w:rPr>
              <w:tab/>
            </w:r>
            <w:r w:rsidR="009615A4" w:rsidRPr="00111237">
              <w:rPr>
                <w:rStyle w:val="Hipervnculo"/>
                <w:noProof/>
              </w:rPr>
              <w:t>Conclusión.</w:t>
            </w:r>
            <w:r w:rsidR="009615A4">
              <w:rPr>
                <w:noProof/>
                <w:webHidden/>
              </w:rPr>
              <w:tab/>
            </w:r>
            <w:r w:rsidR="009615A4">
              <w:rPr>
                <w:noProof/>
                <w:webHidden/>
              </w:rPr>
              <w:fldChar w:fldCharType="begin"/>
            </w:r>
            <w:r w:rsidR="009615A4">
              <w:rPr>
                <w:noProof/>
                <w:webHidden/>
              </w:rPr>
              <w:instrText xml:space="preserve"> PAGEREF _Toc527987653 \h </w:instrText>
            </w:r>
            <w:r w:rsidR="009615A4">
              <w:rPr>
                <w:noProof/>
                <w:webHidden/>
              </w:rPr>
            </w:r>
            <w:r w:rsidR="009615A4">
              <w:rPr>
                <w:noProof/>
                <w:webHidden/>
              </w:rPr>
              <w:fldChar w:fldCharType="separate"/>
            </w:r>
            <w:r w:rsidR="00B703E9">
              <w:rPr>
                <w:noProof/>
                <w:webHidden/>
              </w:rPr>
              <w:t>10</w:t>
            </w:r>
            <w:r w:rsidR="009615A4">
              <w:rPr>
                <w:noProof/>
                <w:webHidden/>
              </w:rPr>
              <w:fldChar w:fldCharType="end"/>
            </w:r>
          </w:hyperlink>
        </w:p>
        <w:p w:rsidR="00625340" w:rsidRPr="00CB2E7B" w:rsidRDefault="00625340">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25332E" w:rsidRPr="00CB2E7B" w:rsidRDefault="0025332E" w:rsidP="0025332E">
      <w:pPr>
        <w:pStyle w:val="Ttulo1"/>
        <w:rPr>
          <w:szCs w:val="24"/>
        </w:rPr>
      </w:pPr>
    </w:p>
    <w:p w:rsidR="00D35091" w:rsidRPr="00CB2E7B" w:rsidRDefault="00D35091" w:rsidP="00D35091">
      <w:pPr>
        <w:rPr>
          <w:rFonts w:ascii="Palatino Linotype" w:hAnsi="Palatino Linotype"/>
          <w:sz w:val="24"/>
          <w:szCs w:val="24"/>
        </w:rPr>
      </w:pPr>
    </w:p>
    <w:p w:rsidR="00D35091" w:rsidRPr="00CB2E7B" w:rsidRDefault="00D35091" w:rsidP="00D35091">
      <w:pPr>
        <w:rPr>
          <w:rFonts w:ascii="Palatino Linotype" w:hAnsi="Palatino Linotype"/>
          <w:sz w:val="24"/>
          <w:szCs w:val="24"/>
        </w:rPr>
      </w:pPr>
    </w:p>
    <w:p w:rsidR="00787C3A" w:rsidRDefault="00787C3A" w:rsidP="00D35091">
      <w:pPr>
        <w:rPr>
          <w:rFonts w:ascii="Palatino Linotype" w:hAnsi="Palatino Linotype"/>
          <w:sz w:val="24"/>
          <w:szCs w:val="24"/>
        </w:rPr>
      </w:pPr>
    </w:p>
    <w:p w:rsidR="00CB2E7B" w:rsidRDefault="00CB2E7B" w:rsidP="00D35091">
      <w:pPr>
        <w:rPr>
          <w:rFonts w:ascii="Palatino Linotype" w:hAnsi="Palatino Linotype"/>
          <w:sz w:val="24"/>
          <w:szCs w:val="24"/>
        </w:rPr>
      </w:pPr>
    </w:p>
    <w:p w:rsidR="00CB2E7B" w:rsidRPr="00CB2E7B" w:rsidRDefault="00CB2E7B" w:rsidP="00D35091">
      <w:pPr>
        <w:rPr>
          <w:rFonts w:ascii="Palatino Linotype" w:hAnsi="Palatino Linotype"/>
          <w:sz w:val="24"/>
          <w:szCs w:val="24"/>
        </w:rPr>
      </w:pPr>
    </w:p>
    <w:p w:rsidR="00625340" w:rsidRPr="00CB2E7B" w:rsidRDefault="00625340" w:rsidP="00530CB3">
      <w:pPr>
        <w:pStyle w:val="Ttulo1"/>
        <w:numPr>
          <w:ilvl w:val="0"/>
          <w:numId w:val="43"/>
        </w:numPr>
        <w:ind w:left="993" w:hanging="567"/>
        <w:rPr>
          <w:szCs w:val="24"/>
        </w:rPr>
      </w:pPr>
      <w:bookmarkStart w:id="0" w:name="_Toc527987649"/>
      <w:r w:rsidRPr="00CB2E7B">
        <w:rPr>
          <w:szCs w:val="24"/>
        </w:rPr>
        <w:t>Consideraciones Generales</w:t>
      </w:r>
      <w:r w:rsidR="004074C0" w:rsidRPr="00CB2E7B">
        <w:rPr>
          <w:szCs w:val="24"/>
        </w:rPr>
        <w:t>.</w:t>
      </w:r>
      <w:bookmarkEnd w:id="0"/>
    </w:p>
    <w:p w:rsidR="003431E5" w:rsidRPr="00CB2E7B" w:rsidRDefault="003431E5" w:rsidP="003431E5">
      <w:pPr>
        <w:rPr>
          <w:rFonts w:ascii="Palatino Linotype" w:hAnsi="Palatino Linotype"/>
          <w:sz w:val="24"/>
          <w:szCs w:val="24"/>
        </w:rPr>
      </w:pPr>
    </w:p>
    <w:p w:rsidR="00625340" w:rsidRPr="00CB2E7B" w:rsidRDefault="00703F02" w:rsidP="00530CB3">
      <w:pPr>
        <w:pStyle w:val="Prrafodelista"/>
        <w:numPr>
          <w:ilvl w:val="0"/>
          <w:numId w:val="1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particular de la presente resolución emitida </w:t>
      </w:r>
      <w:r w:rsidR="00625340" w:rsidRPr="00CB2E7B">
        <w:rPr>
          <w:rFonts w:ascii="Palatino Linotype" w:hAnsi="Palatino Linotype" w:cs="Arial"/>
          <w:sz w:val="24"/>
          <w:szCs w:val="24"/>
        </w:rPr>
        <w:t>por el Pleno del Instituto de Transparencia, Acceso a la Información Pública y Protección de Datos Personales del Estad</w:t>
      </w:r>
      <w:r w:rsidR="002F0837">
        <w:rPr>
          <w:rFonts w:ascii="Palatino Linotype" w:hAnsi="Palatino Linotype" w:cs="Arial"/>
          <w:sz w:val="24"/>
          <w:szCs w:val="24"/>
        </w:rPr>
        <w:t>o de México y Municipios, en su Trigésimo Octava</w:t>
      </w:r>
      <w:r w:rsidR="00F9751B" w:rsidRPr="00CB2E7B">
        <w:rPr>
          <w:rFonts w:ascii="Palatino Linotype" w:hAnsi="Palatino Linotype" w:cs="Arial"/>
          <w:sz w:val="24"/>
          <w:szCs w:val="24"/>
        </w:rPr>
        <w:t xml:space="preserve"> </w:t>
      </w:r>
      <w:r w:rsidR="00D42114" w:rsidRPr="00CB2E7B">
        <w:rPr>
          <w:rFonts w:ascii="Palatino Linotype" w:hAnsi="Palatino Linotype" w:cs="Arial"/>
          <w:sz w:val="24"/>
          <w:szCs w:val="24"/>
        </w:rPr>
        <w:t>Sesión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2F0837">
        <w:rPr>
          <w:rFonts w:ascii="Palatino Linotype" w:hAnsi="Palatino Linotype" w:cs="Arial"/>
          <w:sz w:val="24"/>
          <w:szCs w:val="24"/>
        </w:rPr>
        <w:t>diecisiete</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2F0837">
        <w:rPr>
          <w:rFonts w:ascii="Palatino Linotype" w:hAnsi="Palatino Linotype" w:cs="Arial"/>
          <w:sz w:val="24"/>
          <w:szCs w:val="24"/>
        </w:rPr>
        <w:t>17</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2F0837">
        <w:rPr>
          <w:rFonts w:ascii="Palatino Linotype" w:hAnsi="Palatino Linotype" w:cs="Arial"/>
          <w:sz w:val="24"/>
          <w:szCs w:val="24"/>
        </w:rPr>
        <w:t xml:space="preserve">octubre </w:t>
      </w:r>
      <w:r w:rsidR="00F9751B" w:rsidRPr="00CB2E7B">
        <w:rPr>
          <w:rFonts w:ascii="Palatino Linotype" w:hAnsi="Palatino Linotype" w:cs="Arial"/>
          <w:sz w:val="24"/>
          <w:szCs w:val="24"/>
        </w:rPr>
        <w:t>de dos mil dieciocho</w:t>
      </w:r>
      <w:r w:rsidR="00625340" w:rsidRPr="00CB2E7B">
        <w:rPr>
          <w:rFonts w:ascii="Palatino Linotype" w:hAnsi="Palatino Linotype" w:cs="Arial"/>
          <w:sz w:val="24"/>
          <w:szCs w:val="24"/>
        </w:rPr>
        <w:t xml:space="preserve">, en el recurso de revisión promovido por </w:t>
      </w:r>
      <w:r w:rsidR="00E82247" w:rsidRPr="00E82247">
        <w:rPr>
          <w:rFonts w:ascii="Palatino Linotype" w:hAnsi="Palatino Linotype" w:cs="Arial"/>
          <w:b/>
          <w:sz w:val="24"/>
          <w:szCs w:val="24"/>
          <w:highlight w:val="black"/>
        </w:rPr>
        <w:t>---------------</w:t>
      </w:r>
      <w:r w:rsidR="002F0837" w:rsidRPr="00E82247">
        <w:rPr>
          <w:rFonts w:ascii="Palatino Linotype" w:hAnsi="Palatino Linotype" w:cs="Arial"/>
          <w:b/>
          <w:sz w:val="24"/>
          <w:szCs w:val="24"/>
          <w:highlight w:val="black"/>
        </w:rPr>
        <w:t xml:space="preserve"> </w:t>
      </w:r>
      <w:r w:rsidR="00E82247" w:rsidRPr="00E82247">
        <w:rPr>
          <w:rFonts w:ascii="Palatino Linotype" w:hAnsi="Palatino Linotype" w:cs="Arial"/>
          <w:b/>
          <w:sz w:val="24"/>
          <w:szCs w:val="24"/>
          <w:highlight w:val="black"/>
        </w:rPr>
        <w:t>------------------------------</w:t>
      </w:r>
      <w:r w:rsidR="00625340" w:rsidRPr="00CB2E7B">
        <w:rPr>
          <w:rFonts w:ascii="Palatino Linotype" w:hAnsi="Palatino Linotype" w:cs="Arial"/>
          <w:sz w:val="24"/>
          <w:szCs w:val="24"/>
        </w:rPr>
        <w:t xml:space="preserve"> en contra de la respuesta </w:t>
      </w:r>
      <w:r w:rsidR="00B02F56" w:rsidRPr="00CB2E7B">
        <w:rPr>
          <w:rFonts w:ascii="Palatino Linotype" w:hAnsi="Palatino Linotype" w:cs="Arial"/>
          <w:sz w:val="24"/>
          <w:szCs w:val="24"/>
        </w:rPr>
        <w:t>de</w:t>
      </w:r>
      <w:r w:rsidRPr="00CB2E7B">
        <w:rPr>
          <w:rFonts w:ascii="Palatino Linotype" w:hAnsi="Palatino Linotype" w:cs="Arial"/>
          <w:sz w:val="24"/>
          <w:szCs w:val="24"/>
        </w:rPr>
        <w:t>l</w:t>
      </w:r>
      <w:r w:rsidR="00B02F56" w:rsidRPr="00CB2E7B">
        <w:rPr>
          <w:rFonts w:ascii="Palatino Linotype" w:hAnsi="Palatino Linotype" w:cs="Arial"/>
          <w:sz w:val="24"/>
          <w:szCs w:val="24"/>
        </w:rPr>
        <w:t xml:space="preserve"> </w:t>
      </w:r>
      <w:r w:rsidR="002F0837">
        <w:rPr>
          <w:rFonts w:ascii="Palatino Linotype" w:hAnsi="Palatino Linotype" w:cs="Arial"/>
          <w:b/>
          <w:sz w:val="24"/>
          <w:szCs w:val="24"/>
        </w:rPr>
        <w:t>Instituto Electoral del Estado de México</w:t>
      </w:r>
      <w:r w:rsidR="00625340" w:rsidRPr="00CB2E7B">
        <w:rPr>
          <w:rFonts w:ascii="Palatino Linotype" w:hAnsi="Palatino Linotype" w:cs="Arial"/>
          <w:sz w:val="24"/>
          <w:szCs w:val="24"/>
        </w:rPr>
        <w:t xml:space="preserve">, procedimiento al que se le asignó el número de expediente </w:t>
      </w:r>
      <w:r w:rsidR="00625340" w:rsidRPr="00CB2E7B">
        <w:rPr>
          <w:rFonts w:ascii="Palatino Linotype" w:hAnsi="Palatino Linotype" w:cs="Arial"/>
          <w:b/>
          <w:bCs/>
          <w:sz w:val="24"/>
          <w:szCs w:val="24"/>
        </w:rPr>
        <w:t>0</w:t>
      </w:r>
      <w:r w:rsidR="002F0837">
        <w:rPr>
          <w:rFonts w:ascii="Palatino Linotype" w:hAnsi="Palatino Linotype" w:cs="Arial"/>
          <w:b/>
          <w:bCs/>
          <w:sz w:val="24"/>
          <w:szCs w:val="24"/>
        </w:rPr>
        <w:t>2852</w:t>
      </w:r>
      <w:r w:rsidR="00625340" w:rsidRPr="00CB2E7B">
        <w:rPr>
          <w:rFonts w:ascii="Palatino Linotype" w:hAnsi="Palatino Linotype" w:cs="Arial"/>
          <w:b/>
          <w:bCs/>
          <w:sz w:val="24"/>
          <w:szCs w:val="24"/>
        </w:rPr>
        <w:t>/INFOEM/IP/RR/201</w:t>
      </w:r>
      <w:r w:rsidR="00F9751B" w:rsidRPr="00CB2E7B">
        <w:rPr>
          <w:rFonts w:ascii="Palatino Linotype" w:hAnsi="Palatino Linotype" w:cs="Arial"/>
          <w:b/>
          <w:bCs/>
          <w:sz w:val="24"/>
          <w:szCs w:val="24"/>
        </w:rPr>
        <w:t>8</w:t>
      </w:r>
      <w:r w:rsidR="00625340" w:rsidRPr="00CB2E7B">
        <w:rPr>
          <w:rFonts w:ascii="Palatino Linotype" w:hAnsi="Palatino Linotype" w:cs="Arial"/>
          <w:b/>
          <w:sz w:val="24"/>
          <w:szCs w:val="24"/>
        </w:rPr>
        <w:t>.</w:t>
      </w:r>
    </w:p>
    <w:p w:rsidR="002F0837" w:rsidRPr="002F0837" w:rsidRDefault="00DA4B4E" w:rsidP="00E02323">
      <w:pPr>
        <w:pStyle w:val="Prrafodelista"/>
        <w:numPr>
          <w:ilvl w:val="0"/>
          <w:numId w:val="11"/>
        </w:numPr>
        <w:spacing w:after="0" w:line="360" w:lineRule="auto"/>
        <w:ind w:left="426"/>
        <w:jc w:val="both"/>
        <w:rPr>
          <w:rFonts w:ascii="Palatino Linotype" w:hAnsi="Palatino Linotype" w:cs="Arial"/>
          <w:b/>
          <w:sz w:val="24"/>
          <w:szCs w:val="24"/>
        </w:rPr>
      </w:pPr>
      <w:r w:rsidRPr="002F0837">
        <w:rPr>
          <w:rFonts w:ascii="Palatino Linotype" w:hAnsi="Palatino Linotype" w:cs="Arial"/>
          <w:sz w:val="24"/>
          <w:szCs w:val="24"/>
        </w:rPr>
        <w:lastRenderedPageBreak/>
        <w:t xml:space="preserve">La resolución </w:t>
      </w:r>
      <w:r w:rsidR="00340665" w:rsidRPr="002F0837">
        <w:rPr>
          <w:rFonts w:ascii="Palatino Linotype" w:hAnsi="Palatino Linotype" w:cs="Arial"/>
          <w:sz w:val="24"/>
          <w:szCs w:val="24"/>
        </w:rPr>
        <w:t xml:space="preserve">puntualmente </w:t>
      </w:r>
      <w:r w:rsidRPr="002F0837">
        <w:rPr>
          <w:rFonts w:ascii="Palatino Linotype" w:hAnsi="Palatino Linotype" w:cs="Arial"/>
          <w:sz w:val="24"/>
          <w:szCs w:val="24"/>
        </w:rPr>
        <w:t xml:space="preserve">determina </w:t>
      </w:r>
      <w:r w:rsidR="004727BE" w:rsidRPr="002F0837">
        <w:rPr>
          <w:rFonts w:ascii="Palatino Linotype" w:hAnsi="Palatino Linotype" w:cs="Arial"/>
          <w:b/>
          <w:sz w:val="24"/>
          <w:szCs w:val="24"/>
        </w:rPr>
        <w:t>SOBRESEER el recurso de revisión</w:t>
      </w:r>
      <w:r w:rsidR="004727BE" w:rsidRPr="002F0837">
        <w:rPr>
          <w:rFonts w:ascii="Palatino Linotype" w:hAnsi="Palatino Linotype" w:cs="Arial"/>
          <w:sz w:val="24"/>
          <w:szCs w:val="24"/>
        </w:rPr>
        <w:t xml:space="preserve"> en razón de que </w:t>
      </w:r>
      <w:r w:rsidR="002F0837" w:rsidRPr="002F0837">
        <w:rPr>
          <w:rFonts w:ascii="Palatino Linotype" w:hAnsi="Palatino Linotype" w:cs="Arial"/>
          <w:sz w:val="24"/>
          <w:szCs w:val="24"/>
        </w:rPr>
        <w:t>se quedó sin materia</w:t>
      </w:r>
      <w:r w:rsidR="002F0837">
        <w:rPr>
          <w:rFonts w:ascii="Palatino Linotype" w:hAnsi="Palatino Linotype" w:cs="Arial"/>
          <w:sz w:val="24"/>
          <w:szCs w:val="24"/>
        </w:rPr>
        <w:t>.</w:t>
      </w:r>
    </w:p>
    <w:p w:rsidR="003C7564" w:rsidRPr="002F0837" w:rsidRDefault="00DA4B4E" w:rsidP="002F0837">
      <w:pPr>
        <w:pStyle w:val="Prrafodelista"/>
        <w:spacing w:after="0" w:line="360" w:lineRule="auto"/>
        <w:ind w:left="426"/>
        <w:jc w:val="both"/>
        <w:rPr>
          <w:rFonts w:ascii="Palatino Linotype" w:hAnsi="Palatino Linotype" w:cs="Arial"/>
          <w:b/>
          <w:sz w:val="24"/>
          <w:szCs w:val="24"/>
        </w:rPr>
      </w:pPr>
      <w:r w:rsidRPr="002F0837">
        <w:rPr>
          <w:rFonts w:ascii="Palatino Linotype" w:hAnsi="Palatino Linotype" w:cs="Arial"/>
          <w:sz w:val="24"/>
          <w:szCs w:val="24"/>
        </w:rPr>
        <w:t xml:space="preserve"> </w:t>
      </w:r>
    </w:p>
    <w:p w:rsidR="00D42114" w:rsidRPr="00CB2E7B" w:rsidRDefault="00625340"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particular.</w:t>
      </w:r>
    </w:p>
    <w:p w:rsidR="00D42114" w:rsidRPr="00CB2E7B" w:rsidRDefault="00D42114" w:rsidP="00530CB3">
      <w:pPr>
        <w:pStyle w:val="Prrafodelista"/>
        <w:ind w:left="426"/>
        <w:rPr>
          <w:rFonts w:ascii="Palatino Linotype" w:hAnsi="Palatino Linotype" w:cs="Arial"/>
          <w:sz w:val="24"/>
          <w:szCs w:val="24"/>
        </w:rPr>
      </w:pPr>
    </w:p>
    <w:p w:rsidR="00625340" w:rsidRPr="00CB2E7B" w:rsidRDefault="00D42114" w:rsidP="00530CB3">
      <w:pPr>
        <w:pStyle w:val="Ttulo1"/>
        <w:numPr>
          <w:ilvl w:val="0"/>
          <w:numId w:val="43"/>
        </w:numPr>
        <w:ind w:left="1134" w:hanging="708"/>
        <w:rPr>
          <w:szCs w:val="24"/>
        </w:rPr>
      </w:pPr>
      <w:bookmarkStart w:id="1" w:name="_Toc527987650"/>
      <w:r w:rsidRPr="00CB2E7B">
        <w:rPr>
          <w:szCs w:val="24"/>
        </w:rPr>
        <w:t>De la Suplencia a la deficiencia del Sujeto Obligado</w:t>
      </w:r>
      <w:bookmarkEnd w:id="1"/>
    </w:p>
    <w:p w:rsidR="00D35091" w:rsidRPr="00CB2E7B" w:rsidRDefault="00D35091" w:rsidP="00530CB3">
      <w:pPr>
        <w:pStyle w:val="Prrafodelista"/>
        <w:ind w:left="426"/>
        <w:rPr>
          <w:rFonts w:ascii="Palatino Linotype" w:hAnsi="Palatino Linotype" w:cs="Arial"/>
          <w:sz w:val="24"/>
          <w:szCs w:val="24"/>
        </w:rPr>
      </w:pPr>
    </w:p>
    <w:p w:rsidR="00625340" w:rsidRPr="00CB2E7B" w:rsidRDefault="00611AB9" w:rsidP="00530CB3">
      <w:pPr>
        <w:pStyle w:val="Ttulo1"/>
        <w:numPr>
          <w:ilvl w:val="0"/>
          <w:numId w:val="37"/>
        </w:numPr>
        <w:ind w:left="1418"/>
        <w:rPr>
          <w:szCs w:val="24"/>
        </w:rPr>
      </w:pPr>
      <w:bookmarkStart w:id="2" w:name="_Toc527987651"/>
      <w:r w:rsidRPr="00CB2E7B">
        <w:rPr>
          <w:szCs w:val="24"/>
        </w:rPr>
        <w:t>Del Procedimiento de Acceso a la Información Pública</w:t>
      </w:r>
      <w:r w:rsidR="00625340" w:rsidRPr="00CB2E7B">
        <w:rPr>
          <w:szCs w:val="24"/>
        </w:rPr>
        <w:t>.</w:t>
      </w:r>
      <w:bookmarkEnd w:id="2"/>
    </w:p>
    <w:p w:rsidR="00771F1D" w:rsidRPr="00CB2E7B" w:rsidRDefault="00771F1D" w:rsidP="00530CB3">
      <w:pPr>
        <w:ind w:left="426"/>
        <w:rPr>
          <w:rFonts w:ascii="Palatino Linotype" w:hAnsi="Palatino Linotype"/>
          <w:sz w:val="24"/>
          <w:szCs w:val="24"/>
        </w:rPr>
      </w:pPr>
    </w:p>
    <w:p w:rsidR="009F7309" w:rsidRPr="00CB2E7B" w:rsidRDefault="009F7309"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 xml:space="preserve">En primer lugar, todo </w:t>
      </w:r>
      <w:r w:rsidRPr="00CB2E7B">
        <w:rPr>
          <w:rFonts w:ascii="Palatino Linotype" w:hAnsi="Palatino Linotype" w:cs="Arial"/>
          <w:b/>
          <w:sz w:val="24"/>
          <w:szCs w:val="24"/>
        </w:rPr>
        <w:t xml:space="preserve">SUJETO OBLIGADO, </w:t>
      </w:r>
      <w:r w:rsidRPr="00CB2E7B">
        <w:rPr>
          <w:rFonts w:ascii="Palatino Linotype" w:hAnsi="Palatino Linotype" w:cs="Arial"/>
          <w:sz w:val="24"/>
          <w:szCs w:val="24"/>
        </w:rPr>
        <w:t xml:space="preserve">debe tener presente que la </w:t>
      </w:r>
      <w:r w:rsidRPr="00CB2E7B">
        <w:rPr>
          <w:rFonts w:ascii="Palatino Linotype" w:hAnsi="Palatino Linotype" w:cs="Arial"/>
          <w:b/>
          <w:sz w:val="24"/>
          <w:szCs w:val="24"/>
        </w:rPr>
        <w:t xml:space="preserve">Ley de Transparencia y Acceso a la Información Pública del Estado de México y Municipios, </w:t>
      </w:r>
      <w:r w:rsidRPr="00CB2E7B">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3C35BC" w:rsidRPr="00CB2E7B">
        <w:rPr>
          <w:rFonts w:ascii="Palatino Linotype" w:hAnsi="Palatino Linotype" w:cs="Arial"/>
          <w:sz w:val="24"/>
          <w:szCs w:val="24"/>
        </w:rPr>
        <w:t>y expedita propiciando l</w:t>
      </w:r>
      <w:r w:rsidR="00E661C7" w:rsidRPr="00CB2E7B">
        <w:rPr>
          <w:rFonts w:ascii="Palatino Linotype" w:hAnsi="Palatino Linotype" w:cs="Arial"/>
          <w:sz w:val="24"/>
          <w:szCs w:val="24"/>
        </w:rPr>
        <w:t xml:space="preserve">as condiciones para el acceso, entrega y publicación de información. </w:t>
      </w:r>
    </w:p>
    <w:p w:rsidR="0002112E" w:rsidRPr="00CB2E7B" w:rsidRDefault="0002112E" w:rsidP="00530CB3">
      <w:pPr>
        <w:pStyle w:val="Prrafodelista"/>
        <w:spacing w:before="240" w:after="240" w:line="360" w:lineRule="auto"/>
        <w:ind w:left="426"/>
        <w:jc w:val="both"/>
        <w:rPr>
          <w:rFonts w:ascii="Palatino Linotype" w:hAnsi="Palatino Linotype" w:cs="Arial"/>
          <w:sz w:val="24"/>
          <w:szCs w:val="24"/>
        </w:rPr>
      </w:pPr>
    </w:p>
    <w:p w:rsidR="001F1A7A" w:rsidRPr="00CB2E7B" w:rsidRDefault="00BC7E6A"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Es de señalar que</w:t>
      </w:r>
      <w:r w:rsidR="00C137A0" w:rsidRPr="00CB2E7B">
        <w:rPr>
          <w:rFonts w:ascii="Palatino Linotype" w:hAnsi="Palatino Linotype" w:cs="Arial"/>
          <w:sz w:val="24"/>
          <w:szCs w:val="24"/>
        </w:rPr>
        <w:t xml:space="preserve"> la</w:t>
      </w:r>
      <w:r w:rsidR="009D4B91" w:rsidRPr="00CB2E7B">
        <w:rPr>
          <w:rFonts w:ascii="Palatino Linotype" w:hAnsi="Palatino Linotype" w:cs="Arial"/>
          <w:sz w:val="24"/>
          <w:szCs w:val="24"/>
        </w:rPr>
        <w:t xml:space="preserve"> solicitud de acceso a la información que </w:t>
      </w:r>
      <w:r w:rsidR="009D4B91" w:rsidRPr="00CB2E7B">
        <w:rPr>
          <w:rFonts w:ascii="Palatino Linotype" w:hAnsi="Palatino Linotype"/>
          <w:sz w:val="24"/>
          <w:szCs w:val="24"/>
          <w:lang w:val="es-ES_tradnl"/>
        </w:rPr>
        <w:t>se formul</w:t>
      </w:r>
      <w:r w:rsidR="00C137A0" w:rsidRPr="00CB2E7B">
        <w:rPr>
          <w:rFonts w:ascii="Palatino Linotype" w:hAnsi="Palatino Linotype"/>
          <w:sz w:val="24"/>
          <w:szCs w:val="24"/>
          <w:lang w:val="es-ES_tradnl"/>
        </w:rPr>
        <w:t>ó</w:t>
      </w:r>
      <w:r w:rsidR="009D4B91" w:rsidRPr="00CB2E7B">
        <w:rPr>
          <w:rFonts w:ascii="Palatino Linotype" w:hAnsi="Palatino Linotype"/>
          <w:sz w:val="24"/>
          <w:szCs w:val="24"/>
          <w:lang w:val="es-ES_tradnl"/>
        </w:rPr>
        <w:t xml:space="preserve"> </w:t>
      </w:r>
      <w:r w:rsidR="00CB290D" w:rsidRPr="00CB2E7B">
        <w:rPr>
          <w:rFonts w:ascii="Palatino Linotype" w:hAnsi="Palatino Linotype"/>
          <w:sz w:val="24"/>
          <w:szCs w:val="24"/>
          <w:lang w:val="es-ES_tradnl"/>
        </w:rPr>
        <w:t xml:space="preserve">ante </w:t>
      </w:r>
      <w:r w:rsidR="00C137A0" w:rsidRPr="00CB2E7B">
        <w:rPr>
          <w:rFonts w:ascii="Palatino Linotype" w:hAnsi="Palatino Linotype"/>
          <w:sz w:val="24"/>
          <w:szCs w:val="24"/>
          <w:lang w:val="es-ES_tradnl"/>
        </w:rPr>
        <w:t>la</w:t>
      </w:r>
      <w:r w:rsidRPr="00CB2E7B">
        <w:rPr>
          <w:rFonts w:ascii="Palatino Linotype" w:hAnsi="Palatino Linotype" w:cs="Arial"/>
          <w:sz w:val="24"/>
          <w:szCs w:val="24"/>
        </w:rPr>
        <w:t xml:space="preserve"> </w:t>
      </w:r>
      <w:r w:rsidR="00C137A0" w:rsidRPr="00CB2E7B">
        <w:rPr>
          <w:rFonts w:ascii="Palatino Linotype" w:hAnsi="Palatino Linotype" w:cs="Arial"/>
          <w:b/>
          <w:sz w:val="24"/>
          <w:szCs w:val="24"/>
        </w:rPr>
        <w:t>Secretaría de Educación</w:t>
      </w:r>
      <w:r w:rsidR="009D4B91" w:rsidRPr="00CB2E7B">
        <w:rPr>
          <w:rFonts w:ascii="Palatino Linotype" w:hAnsi="Palatino Linotype" w:cs="Arial"/>
          <w:b/>
          <w:sz w:val="24"/>
          <w:szCs w:val="24"/>
        </w:rPr>
        <w:t xml:space="preserve"> </w:t>
      </w:r>
      <w:r w:rsidR="009D4B91" w:rsidRPr="00CB2E7B">
        <w:rPr>
          <w:rFonts w:ascii="Palatino Linotype" w:hAnsi="Palatino Linotype" w:cs="Arial"/>
          <w:sz w:val="24"/>
          <w:szCs w:val="24"/>
        </w:rPr>
        <w:t>requiere</w:t>
      </w:r>
      <w:r w:rsidR="00C137A0" w:rsidRPr="00CB2E7B">
        <w:rPr>
          <w:rFonts w:ascii="Palatino Linotype" w:hAnsi="Palatino Linotype" w:cs="Arial"/>
          <w:sz w:val="24"/>
          <w:szCs w:val="24"/>
        </w:rPr>
        <w:t xml:space="preserve"> sigu</w:t>
      </w:r>
      <w:r w:rsidR="009D4B91" w:rsidRPr="00CB2E7B">
        <w:rPr>
          <w:rFonts w:ascii="Palatino Linotype" w:hAnsi="Palatino Linotype" w:cs="Arial"/>
          <w:sz w:val="24"/>
          <w:szCs w:val="24"/>
        </w:rPr>
        <w:t>iente:</w:t>
      </w:r>
    </w:p>
    <w:p w:rsidR="004727BE" w:rsidRPr="00CB2E7B" w:rsidRDefault="004727BE" w:rsidP="004727BE">
      <w:pPr>
        <w:pStyle w:val="Prrafodelista"/>
        <w:rPr>
          <w:rFonts w:ascii="Palatino Linotype" w:hAnsi="Palatino Linotype" w:cs="Arial"/>
          <w:sz w:val="24"/>
          <w:szCs w:val="24"/>
        </w:rPr>
      </w:pPr>
    </w:p>
    <w:p w:rsidR="004727BE" w:rsidRPr="00CB2E7B" w:rsidRDefault="002F0837" w:rsidP="008107BE">
      <w:pPr>
        <w:pStyle w:val="Prrafodelista"/>
        <w:numPr>
          <w:ilvl w:val="0"/>
          <w:numId w:val="44"/>
        </w:num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Procedimiento para la remoción de Consejeros.</w:t>
      </w:r>
    </w:p>
    <w:p w:rsidR="001F1A7A" w:rsidRPr="00CB2E7B" w:rsidRDefault="001F1A7A" w:rsidP="00530CB3">
      <w:pPr>
        <w:pStyle w:val="Prrafodelista"/>
        <w:ind w:left="426"/>
        <w:rPr>
          <w:rFonts w:ascii="Palatino Linotype" w:hAnsi="Palatino Linotype" w:cs="Arial"/>
          <w:sz w:val="24"/>
          <w:szCs w:val="24"/>
        </w:rPr>
      </w:pPr>
    </w:p>
    <w:p w:rsidR="002F0837" w:rsidRDefault="00C137A0"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 xml:space="preserve">A tal requerimiento, el Sujeto Obligado </w:t>
      </w:r>
      <w:r w:rsidR="002F0837">
        <w:rPr>
          <w:rFonts w:ascii="Palatino Linotype" w:hAnsi="Palatino Linotype" w:cs="Arial"/>
          <w:sz w:val="24"/>
          <w:szCs w:val="24"/>
        </w:rPr>
        <w:t>en respuesta refirió de manera general que aplicaba el procedimiento dispuesto en el artículo 233 del Código Electoral del Estado de México y en estricto apego al derecho de garantía de audiencia.</w:t>
      </w:r>
    </w:p>
    <w:p w:rsidR="006B5BD5" w:rsidRPr="00CB2E7B" w:rsidRDefault="006B5BD5" w:rsidP="006B5BD5">
      <w:pPr>
        <w:pStyle w:val="Prrafodelista"/>
        <w:spacing w:before="240" w:after="240" w:line="360" w:lineRule="auto"/>
        <w:ind w:left="426"/>
        <w:jc w:val="both"/>
        <w:rPr>
          <w:rFonts w:ascii="Palatino Linotype" w:hAnsi="Palatino Linotype" w:cs="Arial"/>
          <w:sz w:val="24"/>
          <w:szCs w:val="24"/>
        </w:rPr>
      </w:pPr>
    </w:p>
    <w:p w:rsidR="002F0837" w:rsidRDefault="006B5BD5" w:rsidP="006B5BD5">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 xml:space="preserve">Tal y como se aprecia, el Sujeto Obligado solo dio contestación </w:t>
      </w:r>
      <w:r w:rsidR="002F0837">
        <w:rPr>
          <w:rFonts w:ascii="Palatino Linotype" w:hAnsi="Palatino Linotype" w:cs="Arial"/>
          <w:sz w:val="24"/>
          <w:szCs w:val="24"/>
        </w:rPr>
        <w:t xml:space="preserve">de manera general que las remociones de los consejeros, en ese sentido, la ponencia </w:t>
      </w:r>
      <w:proofErr w:type="spellStart"/>
      <w:r w:rsidR="002F0837">
        <w:rPr>
          <w:rFonts w:ascii="Palatino Linotype" w:hAnsi="Palatino Linotype" w:cs="Arial"/>
          <w:sz w:val="24"/>
          <w:szCs w:val="24"/>
        </w:rPr>
        <w:t>resolutora</w:t>
      </w:r>
      <w:proofErr w:type="spellEnd"/>
      <w:r w:rsidR="002F0837">
        <w:rPr>
          <w:rFonts w:ascii="Palatino Linotype" w:hAnsi="Palatino Linotype" w:cs="Arial"/>
          <w:sz w:val="24"/>
          <w:szCs w:val="24"/>
        </w:rPr>
        <w:t xml:space="preserve"> en el estudio señaló que el particular fue omiso en precisar a qué Consejeros se refiere o de cuales pretende conocer el procedimiento de remoción, así como, que de la respuesta del Sujeto Obligado tampoco se advierte que precise dicha situación, refiriendo únicamente</w:t>
      </w:r>
      <w:r w:rsidR="00FF4B70">
        <w:rPr>
          <w:rFonts w:ascii="Palatino Linotype" w:hAnsi="Palatino Linotype" w:cs="Arial"/>
          <w:sz w:val="24"/>
          <w:szCs w:val="24"/>
        </w:rPr>
        <w:t xml:space="preserve"> el fundamento legal 233 del Código Electoral del Estado de México.</w:t>
      </w:r>
      <w:r w:rsidR="002F0837">
        <w:rPr>
          <w:rFonts w:ascii="Palatino Linotype" w:hAnsi="Palatino Linotype" w:cs="Arial"/>
          <w:sz w:val="24"/>
          <w:szCs w:val="24"/>
        </w:rPr>
        <w:t xml:space="preserve"> </w:t>
      </w:r>
    </w:p>
    <w:p w:rsidR="002F0837" w:rsidRPr="002F0837" w:rsidRDefault="002F0837" w:rsidP="002F0837">
      <w:pPr>
        <w:pStyle w:val="Prrafodelista"/>
        <w:rPr>
          <w:rFonts w:ascii="Palatino Linotype" w:hAnsi="Palatino Linotype" w:cs="Arial"/>
          <w:sz w:val="24"/>
          <w:szCs w:val="24"/>
        </w:rPr>
      </w:pPr>
    </w:p>
    <w:p w:rsidR="006B5BD5" w:rsidRPr="00FF4B70" w:rsidRDefault="00FF4B70" w:rsidP="00FF4B70">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Ante la omisión de la parte recurrente de especificar a qué tipo de información se refiere, los Sujetos Obligados deben requerir ésta precisión, o bien, responder de manera tal que se colme ésta deficiencia, toda vez que a lo dicho por </w:t>
      </w:r>
      <w:r w:rsidR="006B5BD5" w:rsidRPr="00FF4B70">
        <w:rPr>
          <w:rFonts w:ascii="Palatino Linotype" w:hAnsi="Palatino Linotype"/>
          <w:sz w:val="24"/>
          <w:szCs w:val="24"/>
          <w:lang w:val="es-ES"/>
        </w:rPr>
        <w:t xml:space="preserve">la </w:t>
      </w:r>
      <w:r w:rsidR="006B5BD5" w:rsidRPr="00FF4B70">
        <w:rPr>
          <w:rFonts w:ascii="Palatino Linotype" w:eastAsia="Times New Roman" w:hAnsi="Palatino Linotype" w:cs="Arial"/>
          <w:sz w:val="24"/>
          <w:szCs w:val="24"/>
          <w:lang w:val="es-ES"/>
        </w:rPr>
        <w:t>Comisión interamericana de Derechos Humanos refiere que “</w:t>
      </w:r>
      <w:r w:rsidR="006B5BD5" w:rsidRPr="00FF4B70">
        <w:rPr>
          <w:rFonts w:ascii="Palatino Linotype" w:hAnsi="Palatino Linotype"/>
          <w:i/>
          <w:sz w:val="24"/>
          <w:szCs w:val="24"/>
        </w:rPr>
        <w:t xml:space="preserve">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w:t>
      </w:r>
      <w:r w:rsidR="006B5BD5" w:rsidRPr="00FF4B70">
        <w:rPr>
          <w:rFonts w:ascii="Palatino Linotype" w:hAnsi="Palatino Linotype"/>
          <w:i/>
          <w:sz w:val="24"/>
          <w:szCs w:val="24"/>
        </w:rPr>
        <w:lastRenderedPageBreak/>
        <w:t>información solicitada”</w:t>
      </w:r>
      <w:r w:rsidR="006B5BD5" w:rsidRPr="00CB2E7B">
        <w:rPr>
          <w:rStyle w:val="Refdenotaalpie"/>
          <w:rFonts w:ascii="Palatino Linotype" w:eastAsia="Times New Roman" w:hAnsi="Palatino Linotype" w:cs="Arial"/>
          <w:sz w:val="24"/>
          <w:szCs w:val="24"/>
          <w:lang w:val="es-ES"/>
        </w:rPr>
        <w:footnoteReference w:id="1"/>
      </w:r>
      <w:r w:rsidR="006B5BD5" w:rsidRPr="00FF4B70">
        <w:rPr>
          <w:rFonts w:ascii="Palatino Linotype" w:hAnsi="Palatino Linotype"/>
          <w:i/>
          <w:sz w:val="24"/>
          <w:szCs w:val="24"/>
        </w:rPr>
        <w:t xml:space="preserve">. </w:t>
      </w:r>
      <w:r w:rsidR="006B5BD5" w:rsidRPr="00FF4B70">
        <w:rPr>
          <w:rFonts w:ascii="Palatino Linotype" w:hAnsi="Palatino Linotype"/>
          <w:sz w:val="24"/>
          <w:szCs w:val="24"/>
        </w:rPr>
        <w:t>Bajo esa óptica, el Sujeto Obligado causó un agravio al derecho del p</w:t>
      </w:r>
      <w:r>
        <w:rPr>
          <w:rFonts w:ascii="Palatino Linotype" w:hAnsi="Palatino Linotype"/>
          <w:sz w:val="24"/>
          <w:szCs w:val="24"/>
        </w:rPr>
        <w:t>articular, si bien es cierto, éste no preciso a qué tipo de Consejeros se refiere, también lo es que en una alta responsabilidad por dar cumplimiento al mandato constitucional debió proporcionársele toda la información relativa a la solicitud.</w:t>
      </w:r>
      <w:r w:rsidR="006B5BD5" w:rsidRPr="00FF4B70">
        <w:rPr>
          <w:rFonts w:ascii="Palatino Linotype" w:hAnsi="Palatino Linotype"/>
          <w:sz w:val="24"/>
          <w:szCs w:val="24"/>
        </w:rPr>
        <w:t xml:space="preserve"> </w:t>
      </w:r>
    </w:p>
    <w:p w:rsidR="00FF4B70" w:rsidRPr="00FF4B70" w:rsidRDefault="00FF4B70" w:rsidP="00FF4B70">
      <w:pPr>
        <w:pStyle w:val="Prrafodelista"/>
        <w:rPr>
          <w:rFonts w:ascii="Palatino Linotype" w:hAnsi="Palatino Linotype" w:cs="Arial"/>
          <w:sz w:val="24"/>
          <w:szCs w:val="24"/>
        </w:rPr>
      </w:pPr>
    </w:p>
    <w:p w:rsidR="00FF4B70" w:rsidRDefault="00FF4B70" w:rsidP="00FF4B70">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Ante tal situación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indic</w:t>
      </w:r>
      <w:r w:rsidR="00803249">
        <w:rPr>
          <w:rFonts w:ascii="Palatino Linotype" w:hAnsi="Palatino Linotype" w:cs="Arial"/>
          <w:sz w:val="24"/>
          <w:szCs w:val="24"/>
        </w:rPr>
        <w:t xml:space="preserve">ó el procedimiento correcto para la remoción de todos y cada uno de los diferentes Consejeros de los que se Integra el Sujeto Obligado, situación que no le corresponde en razón las respuestas que emitan deben ser sustanciosas, de manera tal que se deje por satisfecho el </w:t>
      </w:r>
      <w:r w:rsidR="00123532">
        <w:rPr>
          <w:rFonts w:ascii="Palatino Linotype" w:hAnsi="Palatino Linotype" w:cs="Arial"/>
          <w:sz w:val="24"/>
          <w:szCs w:val="24"/>
        </w:rPr>
        <w:t>derecho accionado por el particular.</w:t>
      </w:r>
    </w:p>
    <w:p w:rsidR="006B5BD5" w:rsidRPr="00CB2E7B" w:rsidRDefault="006B5BD5" w:rsidP="006B5BD5">
      <w:pPr>
        <w:pStyle w:val="Prrafodelista"/>
        <w:rPr>
          <w:rFonts w:ascii="Palatino Linotype" w:hAnsi="Palatino Linotype" w:cs="Arial"/>
          <w:sz w:val="24"/>
          <w:szCs w:val="24"/>
        </w:rPr>
      </w:pPr>
    </w:p>
    <w:p w:rsidR="006B5BD5" w:rsidRPr="00CB2E7B" w:rsidRDefault="006B5BD5" w:rsidP="006B5BD5">
      <w:pPr>
        <w:pStyle w:val="Prrafodelista"/>
        <w:rPr>
          <w:rFonts w:ascii="Palatino Linotype" w:hAnsi="Palatino Linotype" w:cs="Arial"/>
          <w:sz w:val="24"/>
          <w:szCs w:val="24"/>
        </w:rPr>
      </w:pPr>
    </w:p>
    <w:p w:rsidR="00803249" w:rsidRDefault="00803249" w:rsidP="006B5BD5">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Tal y como se </w:t>
      </w:r>
      <w:r w:rsidR="00123532">
        <w:rPr>
          <w:rFonts w:ascii="Palatino Linotype" w:hAnsi="Palatino Linotype" w:cs="Arial"/>
          <w:sz w:val="24"/>
          <w:szCs w:val="24"/>
        </w:rPr>
        <w:t xml:space="preserve">ha dicho, </w:t>
      </w:r>
      <w:r>
        <w:rPr>
          <w:rFonts w:ascii="Palatino Linotype" w:hAnsi="Palatino Linotype" w:cs="Arial"/>
          <w:sz w:val="24"/>
          <w:szCs w:val="24"/>
        </w:rPr>
        <w:t xml:space="preserve">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al percatarse de la deficiencia de la solicitud y la deficiencia del Sujeto Obligado, decidió hacer del conocimiento a la parte recurrente el procedimiento para la remoción de los distintos Consejeros.</w:t>
      </w:r>
    </w:p>
    <w:p w:rsidR="00BC7E6A" w:rsidRPr="00CB2E7B" w:rsidRDefault="00BC7E6A" w:rsidP="00530CB3">
      <w:pPr>
        <w:pStyle w:val="Prrafodelista"/>
        <w:ind w:left="426"/>
        <w:rPr>
          <w:rFonts w:ascii="Palatino Linotype" w:hAnsi="Palatino Linotype" w:cs="Arial"/>
          <w:sz w:val="24"/>
          <w:szCs w:val="24"/>
        </w:rPr>
      </w:pPr>
    </w:p>
    <w:p w:rsidR="00BC7E6A" w:rsidRPr="00CB2E7B" w:rsidRDefault="00BC7E6A" w:rsidP="00530CB3">
      <w:pPr>
        <w:pStyle w:val="Ttulo1"/>
        <w:numPr>
          <w:ilvl w:val="0"/>
          <w:numId w:val="37"/>
        </w:numPr>
        <w:ind w:left="1134"/>
        <w:rPr>
          <w:szCs w:val="24"/>
        </w:rPr>
      </w:pPr>
      <w:bookmarkStart w:id="3" w:name="_Toc527987652"/>
      <w:r w:rsidRPr="00CB2E7B">
        <w:rPr>
          <w:szCs w:val="24"/>
        </w:rPr>
        <w:t>De la Suplencia al Procedimiento de Acceso a la Información Pública.</w:t>
      </w:r>
      <w:bookmarkEnd w:id="3"/>
    </w:p>
    <w:p w:rsidR="00BC7E6A" w:rsidRPr="00CB2E7B" w:rsidRDefault="00BC7E6A" w:rsidP="00530CB3">
      <w:pPr>
        <w:pStyle w:val="Prrafodelista"/>
        <w:spacing w:after="0" w:line="360" w:lineRule="auto"/>
        <w:ind w:left="426"/>
        <w:jc w:val="both"/>
        <w:rPr>
          <w:rFonts w:ascii="Palatino Linotype" w:hAnsi="Palatino Linotype" w:cs="Arial"/>
          <w:sz w:val="24"/>
          <w:szCs w:val="24"/>
        </w:rPr>
      </w:pPr>
    </w:p>
    <w:p w:rsidR="00803249" w:rsidRPr="00803249" w:rsidRDefault="00123532" w:rsidP="00803249">
      <w:pPr>
        <w:pStyle w:val="Prrafodelista"/>
        <w:numPr>
          <w:ilvl w:val="0"/>
          <w:numId w:val="11"/>
        </w:numPr>
        <w:spacing w:after="0" w:line="360" w:lineRule="auto"/>
        <w:ind w:left="426"/>
        <w:jc w:val="both"/>
        <w:rPr>
          <w:rFonts w:ascii="Palatino Linotype" w:hAnsi="Palatino Linotype" w:cs="Arial"/>
          <w:b/>
          <w:i/>
          <w:sz w:val="24"/>
          <w:szCs w:val="24"/>
        </w:rPr>
      </w:pPr>
      <w:r>
        <w:rPr>
          <w:rFonts w:ascii="Palatino Linotype" w:hAnsi="Palatino Linotype" w:cs="Arial"/>
          <w:sz w:val="24"/>
          <w:szCs w:val="24"/>
        </w:rPr>
        <w:lastRenderedPageBreak/>
        <w:t>E</w:t>
      </w:r>
      <w:r w:rsidR="00BC7E6A" w:rsidRPr="00CB2E7B">
        <w:rPr>
          <w:rFonts w:ascii="Palatino Linotype" w:hAnsi="Palatino Linotype" w:cs="Arial"/>
          <w:sz w:val="24"/>
          <w:szCs w:val="24"/>
        </w:rPr>
        <w:t>s</w:t>
      </w:r>
      <w:r w:rsidR="00B76303" w:rsidRPr="00CB2E7B">
        <w:rPr>
          <w:rFonts w:ascii="Palatino Linotype" w:hAnsi="Palatino Linotype" w:cs="Arial"/>
          <w:sz w:val="24"/>
          <w:szCs w:val="24"/>
        </w:rPr>
        <w:t xml:space="preserve"> de observarse </w:t>
      </w:r>
      <w:r>
        <w:rPr>
          <w:rFonts w:ascii="Palatino Linotype" w:hAnsi="Palatino Linotype" w:cs="Arial"/>
          <w:sz w:val="24"/>
          <w:szCs w:val="24"/>
        </w:rPr>
        <w:t xml:space="preserve">que </w:t>
      </w:r>
      <w:r w:rsidR="00B76303" w:rsidRPr="00CB2E7B">
        <w:rPr>
          <w:rFonts w:ascii="Palatino Linotype" w:hAnsi="Palatino Linotype" w:cs="Arial"/>
          <w:sz w:val="24"/>
          <w:szCs w:val="24"/>
        </w:rPr>
        <w:t xml:space="preserve">en el expediente electrónico que obra en el SAIMEX, el Sujeto Obligado </w:t>
      </w:r>
      <w:r w:rsidR="00803249">
        <w:rPr>
          <w:rFonts w:ascii="Palatino Linotype" w:hAnsi="Palatino Linotype" w:cs="Arial"/>
          <w:sz w:val="24"/>
          <w:szCs w:val="24"/>
        </w:rPr>
        <w:t xml:space="preserve">no </w:t>
      </w:r>
      <w:r w:rsidR="00756A7F" w:rsidRPr="00CB2E7B">
        <w:rPr>
          <w:rFonts w:ascii="Palatino Linotype" w:hAnsi="Palatino Linotype" w:cs="Arial"/>
          <w:sz w:val="24"/>
          <w:szCs w:val="24"/>
        </w:rPr>
        <w:t>dio cabal cumplimiento a</w:t>
      </w:r>
      <w:r w:rsidR="002D2CD0" w:rsidRPr="00CB2E7B">
        <w:rPr>
          <w:rFonts w:ascii="Palatino Linotype" w:hAnsi="Palatino Linotype" w:cs="Arial"/>
          <w:sz w:val="24"/>
          <w:szCs w:val="24"/>
        </w:rPr>
        <w:t xml:space="preserve"> lo requerido por el particular, es decir, fue omiso en señalar el procedimiento </w:t>
      </w:r>
      <w:r w:rsidR="00803249">
        <w:rPr>
          <w:rFonts w:ascii="Palatino Linotype" w:hAnsi="Palatino Linotype" w:cs="Arial"/>
          <w:sz w:val="24"/>
          <w:szCs w:val="24"/>
        </w:rPr>
        <w:t>para la remoci</w:t>
      </w:r>
      <w:r>
        <w:rPr>
          <w:rFonts w:ascii="Palatino Linotype" w:hAnsi="Palatino Linotype" w:cs="Arial"/>
          <w:sz w:val="24"/>
          <w:szCs w:val="24"/>
        </w:rPr>
        <w:t>ón de los Consejeros de manera específica, sino de manera general.</w:t>
      </w:r>
    </w:p>
    <w:p w:rsidR="00D35091" w:rsidRPr="00CB2E7B" w:rsidRDefault="00803249" w:rsidP="00803249">
      <w:pPr>
        <w:pStyle w:val="Prrafodelista"/>
        <w:spacing w:after="0" w:line="360" w:lineRule="auto"/>
        <w:ind w:left="426"/>
        <w:jc w:val="both"/>
        <w:rPr>
          <w:rFonts w:ascii="Palatino Linotype" w:hAnsi="Palatino Linotype" w:cs="Arial"/>
          <w:b/>
          <w:i/>
          <w:sz w:val="24"/>
          <w:szCs w:val="24"/>
        </w:rPr>
      </w:pPr>
      <w:r w:rsidRPr="00CB2E7B">
        <w:rPr>
          <w:rFonts w:ascii="Palatino Linotype" w:hAnsi="Palatino Linotype" w:cs="Arial"/>
          <w:b/>
          <w:i/>
          <w:sz w:val="24"/>
          <w:szCs w:val="24"/>
        </w:rPr>
        <w:t xml:space="preserve"> </w:t>
      </w:r>
    </w:p>
    <w:p w:rsidR="005B54CA" w:rsidRPr="00CB2E7B" w:rsidRDefault="00602A7F" w:rsidP="00530CB3">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U</w:t>
      </w:r>
      <w:r w:rsidR="00BC7E6A" w:rsidRPr="00CB2E7B">
        <w:rPr>
          <w:rFonts w:ascii="Palatino Linotype" w:hAnsi="Palatino Linotype" w:cs="Arial"/>
          <w:sz w:val="24"/>
          <w:szCs w:val="24"/>
        </w:rPr>
        <w:t xml:space="preserve">na vez interpuesto y admitido el recurso de revisión, la ponencia, </w:t>
      </w:r>
      <w:r w:rsidRPr="00CB2E7B">
        <w:rPr>
          <w:rFonts w:ascii="Palatino Linotype" w:hAnsi="Palatino Linotype" w:cs="Arial"/>
          <w:sz w:val="24"/>
          <w:szCs w:val="24"/>
        </w:rPr>
        <w:t xml:space="preserve">se percató </w:t>
      </w:r>
      <w:r w:rsidR="002D2CD0" w:rsidRPr="00CB2E7B">
        <w:rPr>
          <w:rFonts w:ascii="Palatino Linotype" w:hAnsi="Palatino Linotype" w:cs="Arial"/>
          <w:sz w:val="24"/>
          <w:szCs w:val="24"/>
        </w:rPr>
        <w:t xml:space="preserve">de la omisión y que a través de señalar el procedimiento idóneo podría </w:t>
      </w:r>
      <w:r w:rsidR="007477B8" w:rsidRPr="00CB2E7B">
        <w:rPr>
          <w:rFonts w:ascii="Palatino Linotype" w:hAnsi="Palatino Linotype" w:cs="Arial"/>
          <w:sz w:val="24"/>
          <w:szCs w:val="24"/>
        </w:rPr>
        <w:t>colma</w:t>
      </w:r>
      <w:r w:rsidR="002D2CD0" w:rsidRPr="00CB2E7B">
        <w:rPr>
          <w:rFonts w:ascii="Palatino Linotype" w:hAnsi="Palatino Linotype" w:cs="Arial"/>
          <w:sz w:val="24"/>
          <w:szCs w:val="24"/>
        </w:rPr>
        <w:t>r</w:t>
      </w:r>
      <w:r w:rsidR="007477B8" w:rsidRPr="00CB2E7B">
        <w:rPr>
          <w:rFonts w:ascii="Palatino Linotype" w:hAnsi="Palatino Linotype" w:cs="Arial"/>
          <w:sz w:val="24"/>
          <w:szCs w:val="24"/>
        </w:rPr>
        <w:t xml:space="preserve"> </w:t>
      </w:r>
      <w:r w:rsidR="002D2CD0" w:rsidRPr="00CB2E7B">
        <w:rPr>
          <w:rFonts w:ascii="Palatino Linotype" w:hAnsi="Palatino Linotype" w:cs="Arial"/>
          <w:sz w:val="24"/>
          <w:szCs w:val="24"/>
        </w:rPr>
        <w:t>la solicitud de acceso a la información que dio origen al recurso de revisión</w:t>
      </w:r>
      <w:r w:rsidR="00803249">
        <w:rPr>
          <w:rFonts w:ascii="Palatino Linotype" w:hAnsi="Palatino Linotype" w:cs="Arial"/>
          <w:sz w:val="24"/>
          <w:szCs w:val="24"/>
        </w:rPr>
        <w:t xml:space="preserve"> que hoy nos ocupa,</w:t>
      </w:r>
      <w:r w:rsidR="007477B8" w:rsidRPr="00CB2E7B">
        <w:rPr>
          <w:rFonts w:ascii="Palatino Linotype" w:hAnsi="Palatino Linotype" w:cs="Arial"/>
          <w:sz w:val="24"/>
          <w:szCs w:val="24"/>
        </w:rPr>
        <w:t xml:space="preserve"> por lo que determinó </w:t>
      </w:r>
      <w:r w:rsidR="002D2CD0" w:rsidRPr="00CB2E7B">
        <w:rPr>
          <w:rFonts w:ascii="Palatino Linotype" w:hAnsi="Palatino Linotype" w:cs="Arial"/>
          <w:sz w:val="24"/>
          <w:szCs w:val="24"/>
        </w:rPr>
        <w:t>suplir las</w:t>
      </w:r>
      <w:r w:rsidR="00BC7E6A" w:rsidRPr="00CB2E7B">
        <w:rPr>
          <w:rFonts w:ascii="Palatino Linotype" w:hAnsi="Palatino Linotype" w:cs="Arial"/>
          <w:sz w:val="24"/>
          <w:szCs w:val="24"/>
        </w:rPr>
        <w:t xml:space="preserve"> deficiencia</w:t>
      </w:r>
      <w:r w:rsidRPr="00CB2E7B">
        <w:rPr>
          <w:rFonts w:ascii="Palatino Linotype" w:hAnsi="Palatino Linotype" w:cs="Arial"/>
          <w:sz w:val="24"/>
          <w:szCs w:val="24"/>
        </w:rPr>
        <w:t>s</w:t>
      </w:r>
      <w:r w:rsidR="002D2CD0" w:rsidRPr="00CB2E7B">
        <w:rPr>
          <w:rFonts w:ascii="Palatino Linotype" w:hAnsi="Palatino Linotype" w:cs="Arial"/>
          <w:sz w:val="24"/>
          <w:szCs w:val="24"/>
        </w:rPr>
        <w:t xml:space="preserve"> atribuibles al Sujeto Obligado</w:t>
      </w:r>
      <w:r w:rsidR="00BC7E6A" w:rsidRPr="00CB2E7B">
        <w:rPr>
          <w:rFonts w:ascii="Palatino Linotype" w:hAnsi="Palatino Linotype" w:cs="Arial"/>
          <w:sz w:val="24"/>
          <w:szCs w:val="24"/>
        </w:rPr>
        <w:t xml:space="preserve">, </w:t>
      </w:r>
      <w:r w:rsidR="002D2CD0" w:rsidRPr="00CB2E7B">
        <w:rPr>
          <w:rFonts w:ascii="Palatino Linotype" w:hAnsi="Palatino Linotype" w:cs="Arial"/>
          <w:sz w:val="24"/>
          <w:szCs w:val="24"/>
        </w:rPr>
        <w:t xml:space="preserve">señalando el procedimiento </w:t>
      </w:r>
      <w:r w:rsidR="00803249">
        <w:rPr>
          <w:rFonts w:ascii="Palatino Linotype" w:hAnsi="Palatino Linotype" w:cs="Arial"/>
          <w:sz w:val="24"/>
          <w:szCs w:val="24"/>
        </w:rPr>
        <w:t>correcto</w:t>
      </w:r>
      <w:r w:rsidR="00123532">
        <w:rPr>
          <w:rFonts w:ascii="Palatino Linotype" w:hAnsi="Palatino Linotype" w:cs="Arial"/>
          <w:sz w:val="24"/>
          <w:szCs w:val="24"/>
        </w:rPr>
        <w:t>.</w:t>
      </w:r>
    </w:p>
    <w:p w:rsidR="00D35091" w:rsidRPr="00CB2E7B" w:rsidRDefault="00D35091" w:rsidP="00530CB3">
      <w:pPr>
        <w:pStyle w:val="Prrafodelista"/>
        <w:spacing w:after="0" w:line="360" w:lineRule="auto"/>
        <w:ind w:left="426"/>
        <w:jc w:val="both"/>
        <w:rPr>
          <w:rFonts w:ascii="Palatino Linotype" w:hAnsi="Palatino Linotype" w:cs="Arial"/>
          <w:sz w:val="24"/>
          <w:szCs w:val="24"/>
        </w:rPr>
      </w:pPr>
    </w:p>
    <w:p w:rsidR="00BC7E6A" w:rsidRPr="00CB2E7B" w:rsidRDefault="00BC7E6A" w:rsidP="00890D79">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Ahora bien, si</w:t>
      </w:r>
      <w:r w:rsidR="00602A7F" w:rsidRPr="00CB2E7B">
        <w:rPr>
          <w:rFonts w:ascii="Palatino Linotype" w:hAnsi="Palatino Linotype" w:cs="Arial"/>
          <w:sz w:val="24"/>
          <w:szCs w:val="24"/>
        </w:rPr>
        <w:t xml:space="preserve"> bien es cierto que la ponencia</w:t>
      </w:r>
      <w:r w:rsidRPr="00CB2E7B">
        <w:rPr>
          <w:rFonts w:ascii="Palatino Linotype" w:hAnsi="Palatino Linotype" w:cs="Arial"/>
          <w:sz w:val="24"/>
          <w:szCs w:val="24"/>
        </w:rPr>
        <w:t xml:space="preserve"> realiza la suplencia en la deficiencia del procedimiento de acceso a la información, haciendo del conocimiento a </w:t>
      </w:r>
      <w:r w:rsidR="00890D79" w:rsidRPr="00CB2E7B">
        <w:rPr>
          <w:rFonts w:ascii="Palatino Linotype" w:hAnsi="Palatino Linotype" w:cs="Arial"/>
          <w:sz w:val="24"/>
          <w:szCs w:val="24"/>
        </w:rPr>
        <w:t xml:space="preserve">través del cuerpo de la resolución, la forma por la cual la parte recurrente puede hacer valer su derecho para tener acceso a su expediente de da cumplimiento al principio de celeridad, </w:t>
      </w:r>
      <w:r w:rsidR="007477B8" w:rsidRPr="00CB2E7B">
        <w:rPr>
          <w:rFonts w:ascii="Palatino Linotype" w:hAnsi="Palatino Linotype" w:cs="Arial"/>
          <w:sz w:val="24"/>
          <w:szCs w:val="24"/>
        </w:rPr>
        <w:t>pero</w:t>
      </w:r>
      <w:r w:rsidRPr="00CB2E7B">
        <w:rPr>
          <w:rFonts w:ascii="Palatino Linotype" w:hAnsi="Palatino Linotype" w:cs="Arial"/>
          <w:sz w:val="24"/>
          <w:szCs w:val="24"/>
        </w:rPr>
        <w:t xml:space="preserve"> también lo es</w:t>
      </w:r>
      <w:r w:rsidR="007477B8" w:rsidRPr="00CB2E7B">
        <w:rPr>
          <w:rFonts w:ascii="Palatino Linotype" w:hAnsi="Palatino Linotype" w:cs="Arial"/>
          <w:sz w:val="24"/>
          <w:szCs w:val="24"/>
        </w:rPr>
        <w:t>,</w:t>
      </w:r>
      <w:r w:rsidRPr="00CB2E7B">
        <w:rPr>
          <w:rFonts w:ascii="Palatino Linotype" w:hAnsi="Palatino Linotype" w:cs="Arial"/>
          <w:sz w:val="24"/>
          <w:szCs w:val="24"/>
        </w:rPr>
        <w:t xml:space="preserve"> que se debe hacer saber al </w:t>
      </w:r>
      <w:r w:rsidR="007477B8" w:rsidRPr="00CB2E7B">
        <w:rPr>
          <w:rFonts w:ascii="Palatino Linotype" w:hAnsi="Palatino Linotype" w:cs="Arial"/>
          <w:b/>
          <w:sz w:val="24"/>
          <w:szCs w:val="24"/>
        </w:rPr>
        <w:t xml:space="preserve">SUJETO OBLIGADO </w:t>
      </w:r>
      <w:r w:rsidR="007477B8" w:rsidRPr="00CB2E7B">
        <w:rPr>
          <w:rFonts w:ascii="Palatino Linotype" w:hAnsi="Palatino Linotype" w:cs="Arial"/>
          <w:sz w:val="24"/>
          <w:szCs w:val="24"/>
        </w:rPr>
        <w:t xml:space="preserve">la responsabilidad que tiene como autoridad para atender y dar seguimiento a las solicitudes que formulen los particulares en pleno ejercicio al derecho constitucional y convencionalmente reconocido, observando </w:t>
      </w:r>
      <w:r w:rsidRPr="00CB2E7B">
        <w:rPr>
          <w:rFonts w:ascii="Palatino Linotype" w:hAnsi="Palatino Linotype" w:cs="Arial"/>
          <w:sz w:val="24"/>
          <w:szCs w:val="24"/>
        </w:rPr>
        <w:t xml:space="preserve">cada uno de los pasos a seguir en el procedimiento para atender </w:t>
      </w:r>
      <w:r w:rsidR="007477B8" w:rsidRPr="00CB2E7B">
        <w:rPr>
          <w:rFonts w:ascii="Palatino Linotype" w:hAnsi="Palatino Linotype" w:cs="Arial"/>
          <w:sz w:val="24"/>
          <w:szCs w:val="24"/>
        </w:rPr>
        <w:t xml:space="preserve">oportunamente </w:t>
      </w:r>
      <w:r w:rsidRPr="00CB2E7B">
        <w:rPr>
          <w:rFonts w:ascii="Palatino Linotype" w:hAnsi="Palatino Linotype" w:cs="Arial"/>
          <w:sz w:val="24"/>
          <w:szCs w:val="24"/>
        </w:rPr>
        <w:t>la</w:t>
      </w:r>
      <w:r w:rsidR="007477B8" w:rsidRPr="00CB2E7B">
        <w:rPr>
          <w:rFonts w:ascii="Palatino Linotype" w:hAnsi="Palatino Linotype" w:cs="Arial"/>
          <w:sz w:val="24"/>
          <w:szCs w:val="24"/>
        </w:rPr>
        <w:t>s</w:t>
      </w:r>
      <w:r w:rsidRPr="00CB2E7B">
        <w:rPr>
          <w:rFonts w:ascii="Palatino Linotype" w:hAnsi="Palatino Linotype" w:cs="Arial"/>
          <w:sz w:val="24"/>
          <w:szCs w:val="24"/>
        </w:rPr>
        <w:t xml:space="preserve"> solicitud</w:t>
      </w:r>
      <w:r w:rsidR="007477B8" w:rsidRPr="00CB2E7B">
        <w:rPr>
          <w:rFonts w:ascii="Palatino Linotype" w:hAnsi="Palatino Linotype" w:cs="Arial"/>
          <w:sz w:val="24"/>
          <w:szCs w:val="24"/>
        </w:rPr>
        <w:t>es</w:t>
      </w:r>
      <w:r w:rsidRPr="00CB2E7B">
        <w:rPr>
          <w:rFonts w:ascii="Palatino Linotype" w:hAnsi="Palatino Linotype" w:cs="Arial"/>
          <w:sz w:val="24"/>
          <w:szCs w:val="24"/>
        </w:rPr>
        <w:t xml:space="preserve"> de</w:t>
      </w:r>
      <w:r w:rsidR="007477B8" w:rsidRPr="00CB2E7B">
        <w:rPr>
          <w:rFonts w:ascii="Palatino Linotype" w:hAnsi="Palatino Linotype" w:cs="Arial"/>
          <w:sz w:val="24"/>
          <w:szCs w:val="24"/>
        </w:rPr>
        <w:t xml:space="preserve"> acceso a la</w:t>
      </w:r>
      <w:r w:rsidRPr="00CB2E7B">
        <w:rPr>
          <w:rFonts w:ascii="Palatino Linotype" w:hAnsi="Palatino Linotype" w:cs="Arial"/>
          <w:sz w:val="24"/>
          <w:szCs w:val="24"/>
        </w:rPr>
        <w:t xml:space="preserve"> información, ya que de lo contrario, en forma reiterada sucederá lo ocurrido en el presente asunto y esto implica </w:t>
      </w:r>
      <w:r w:rsidR="00602A7F" w:rsidRPr="00CB2E7B">
        <w:rPr>
          <w:rFonts w:ascii="Palatino Linotype" w:hAnsi="Palatino Linotype" w:cs="Arial"/>
          <w:sz w:val="24"/>
          <w:szCs w:val="24"/>
        </w:rPr>
        <w:t xml:space="preserve">que </w:t>
      </w:r>
      <w:r w:rsidRPr="00CB2E7B">
        <w:rPr>
          <w:rFonts w:ascii="Palatino Linotype" w:hAnsi="Palatino Linotype" w:cs="Arial"/>
          <w:sz w:val="24"/>
          <w:szCs w:val="24"/>
        </w:rPr>
        <w:t xml:space="preserve">no se de cabal </w:t>
      </w:r>
      <w:r w:rsidRPr="00CB2E7B">
        <w:rPr>
          <w:rFonts w:ascii="Palatino Linotype" w:hAnsi="Palatino Linotype" w:cs="Arial"/>
          <w:sz w:val="24"/>
          <w:szCs w:val="24"/>
        </w:rPr>
        <w:lastRenderedPageBreak/>
        <w:t xml:space="preserve">cumplimiento a los principios, bases y procedimientos, establecidos en la Ley de la materia, encaminados a tutelar y garantizar el Derecho de Acceso a la Información Pública. </w:t>
      </w:r>
    </w:p>
    <w:p w:rsidR="00602A7F" w:rsidRPr="00CB2E7B" w:rsidRDefault="00602A7F" w:rsidP="00530CB3">
      <w:pPr>
        <w:pStyle w:val="Prrafodelista"/>
        <w:ind w:left="426"/>
        <w:rPr>
          <w:rFonts w:ascii="Palatino Linotype" w:hAnsi="Palatino Linotype" w:cs="Arial"/>
          <w:sz w:val="24"/>
          <w:szCs w:val="24"/>
        </w:rPr>
      </w:pPr>
    </w:p>
    <w:p w:rsidR="00BC7E6A" w:rsidRPr="00CB2E7B" w:rsidRDefault="007477B8" w:rsidP="00530CB3">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 xml:space="preserve">Cabe hacer énfasis que la </w:t>
      </w:r>
      <w:r w:rsidR="00602A7F" w:rsidRPr="00CB2E7B">
        <w:rPr>
          <w:rFonts w:ascii="Palatino Linotype" w:hAnsi="Palatino Linotype" w:cs="Arial"/>
          <w:sz w:val="24"/>
          <w:szCs w:val="24"/>
        </w:rPr>
        <w:t xml:space="preserve">suplencia </w:t>
      </w:r>
      <w:r w:rsidRPr="00CB2E7B">
        <w:rPr>
          <w:rFonts w:ascii="Palatino Linotype" w:hAnsi="Palatino Linotype" w:cs="Arial"/>
          <w:sz w:val="24"/>
          <w:szCs w:val="24"/>
        </w:rPr>
        <w:t xml:space="preserve">realizada a la deficiencia del Sujeto Obligado contradice </w:t>
      </w:r>
      <w:r w:rsidR="00C91DDB" w:rsidRPr="00CB2E7B">
        <w:rPr>
          <w:rFonts w:ascii="Palatino Linotype" w:hAnsi="Palatino Linotype" w:cs="Arial"/>
          <w:sz w:val="24"/>
          <w:szCs w:val="24"/>
        </w:rPr>
        <w:t>los principios rectores del derecho al acceso a la informaci</w:t>
      </w:r>
      <w:r w:rsidR="00CD65AA" w:rsidRPr="00CB2E7B">
        <w:rPr>
          <w:rFonts w:ascii="Palatino Linotype" w:hAnsi="Palatino Linotype" w:cs="Arial"/>
          <w:sz w:val="24"/>
          <w:szCs w:val="24"/>
        </w:rPr>
        <w:t>ón</w:t>
      </w:r>
      <w:r w:rsidR="00803249">
        <w:rPr>
          <w:rFonts w:ascii="Palatino Linotype" w:hAnsi="Palatino Linotype" w:cs="Arial"/>
          <w:sz w:val="24"/>
          <w:szCs w:val="24"/>
        </w:rPr>
        <w:t>.</w:t>
      </w:r>
      <w:r w:rsidR="00CD65AA" w:rsidRPr="00CB2E7B">
        <w:rPr>
          <w:rFonts w:ascii="Palatino Linotype" w:hAnsi="Palatino Linotype"/>
          <w:i/>
          <w:sz w:val="24"/>
          <w:szCs w:val="24"/>
        </w:rPr>
        <w:t xml:space="preserve"> </w:t>
      </w:r>
      <w:r w:rsidR="00CD65AA" w:rsidRPr="00CB2E7B">
        <w:rPr>
          <w:rFonts w:ascii="Palatino Linotype" w:hAnsi="Palatino Linotype"/>
          <w:sz w:val="24"/>
          <w:szCs w:val="24"/>
        </w:rPr>
        <w:t>Es así</w:t>
      </w:r>
      <w:r w:rsidR="00C91DDB" w:rsidRPr="00CB2E7B">
        <w:rPr>
          <w:rFonts w:ascii="Palatino Linotype" w:hAnsi="Palatino Linotype"/>
          <w:sz w:val="24"/>
          <w:szCs w:val="24"/>
        </w:rPr>
        <w:t xml:space="preserve"> que se </w:t>
      </w:r>
      <w:r w:rsidR="00BC7E6A" w:rsidRPr="00CB2E7B">
        <w:rPr>
          <w:rFonts w:ascii="Palatino Linotype" w:hAnsi="Palatino Linotype" w:cs="Arial"/>
          <w:sz w:val="24"/>
          <w:szCs w:val="24"/>
        </w:rPr>
        <w:t>debe tener especial cuidado al momento de responder a una</w:t>
      </w:r>
      <w:r w:rsidR="00CD65AA" w:rsidRPr="00CB2E7B">
        <w:rPr>
          <w:rFonts w:ascii="Palatino Linotype" w:hAnsi="Palatino Linotype" w:cs="Arial"/>
          <w:sz w:val="24"/>
          <w:szCs w:val="24"/>
        </w:rPr>
        <w:t xml:space="preserve"> solicitud, debiendo seguir paso a paso el procedimiento previamente establecido para tal efecto,</w:t>
      </w:r>
      <w:r w:rsidR="00BC7E6A" w:rsidRPr="00CB2E7B">
        <w:rPr>
          <w:rFonts w:ascii="Palatino Linotype" w:hAnsi="Palatino Linotype" w:cs="Arial"/>
          <w:sz w:val="24"/>
          <w:szCs w:val="24"/>
        </w:rPr>
        <w:t xml:space="preserve"> y de esta forma dar conclusión al procedimiento de acceso a la información pública</w:t>
      </w:r>
      <w:r w:rsidR="00CD65AA" w:rsidRPr="00CB2E7B">
        <w:rPr>
          <w:rFonts w:ascii="Palatino Linotype" w:hAnsi="Palatino Linotype" w:cs="Arial"/>
          <w:sz w:val="24"/>
          <w:szCs w:val="24"/>
        </w:rPr>
        <w:t xml:space="preserve">, mismo que concluye cuando el recurrente tenga a su disposición </w:t>
      </w:r>
      <w:r w:rsidR="00BC7E6A" w:rsidRPr="00CB2E7B">
        <w:rPr>
          <w:rFonts w:ascii="Palatino Linotype" w:hAnsi="Palatino Linotype" w:cs="Arial"/>
          <w:sz w:val="24"/>
          <w:szCs w:val="24"/>
        </w:rPr>
        <w:t xml:space="preserve">la información requerida. </w:t>
      </w:r>
    </w:p>
    <w:p w:rsidR="00CD766A" w:rsidRPr="00CB2E7B" w:rsidRDefault="00CD766A" w:rsidP="00530CB3">
      <w:pPr>
        <w:pStyle w:val="Prrafodelista"/>
        <w:spacing w:after="0" w:line="360" w:lineRule="auto"/>
        <w:ind w:left="426"/>
        <w:jc w:val="both"/>
        <w:rPr>
          <w:rFonts w:ascii="Palatino Linotype" w:hAnsi="Palatino Linotype" w:cs="Arial"/>
          <w:sz w:val="24"/>
          <w:szCs w:val="24"/>
        </w:rPr>
      </w:pPr>
    </w:p>
    <w:p w:rsidR="0025332E" w:rsidRPr="00CB2E7B" w:rsidRDefault="0025332E" w:rsidP="00530CB3">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C</w:t>
      </w:r>
      <w:r w:rsidR="00CD766A" w:rsidRPr="00CB2E7B">
        <w:rPr>
          <w:rFonts w:ascii="Palatino Linotype" w:hAnsi="Palatino Linotype" w:cs="Arial"/>
          <w:sz w:val="24"/>
          <w:szCs w:val="24"/>
        </w:rPr>
        <w:t xml:space="preserve">onsidero firmemente que el hecho de que el procedimiento de acceso a la información sea la garantía primaria para tutelar el derecho en cuestión, y se rija bajo los principios de </w:t>
      </w:r>
      <w:r w:rsidRPr="00CB2E7B">
        <w:rPr>
          <w:rFonts w:ascii="Palatino Linotype" w:hAnsi="Palatino Linotype" w:cs="Arial"/>
          <w:sz w:val="24"/>
          <w:szCs w:val="24"/>
        </w:rPr>
        <w:t xml:space="preserve">simplicidad, </w:t>
      </w:r>
      <w:r w:rsidR="00CD766A" w:rsidRPr="00CB2E7B">
        <w:rPr>
          <w:rFonts w:ascii="Palatino Linotype" w:hAnsi="Palatino Linotype" w:cs="Arial"/>
          <w:sz w:val="24"/>
          <w:szCs w:val="24"/>
        </w:rPr>
        <w:t>rapidez y gratuidad</w:t>
      </w:r>
      <w:r w:rsidR="00CD766A" w:rsidRPr="00CB2E7B">
        <w:rPr>
          <w:rStyle w:val="Refdenotaalpie"/>
          <w:rFonts w:ascii="Palatino Linotype" w:hAnsi="Palatino Linotype" w:cs="Arial"/>
          <w:sz w:val="24"/>
          <w:szCs w:val="24"/>
        </w:rPr>
        <w:footnoteReference w:id="2"/>
      </w:r>
      <w:r w:rsidR="00660259" w:rsidRPr="00CB2E7B">
        <w:rPr>
          <w:rFonts w:ascii="Palatino Linotype" w:hAnsi="Palatino Linotype" w:cs="Arial"/>
          <w:sz w:val="24"/>
          <w:szCs w:val="24"/>
        </w:rPr>
        <w:t xml:space="preserve"> no establece la obligación del Instituto a actuar con exceso en la suplencia sobre las deficiencias generadas durante la sustanciación del recurso de revisión</w:t>
      </w:r>
      <w:r w:rsidR="002D5499" w:rsidRPr="00CB2E7B">
        <w:rPr>
          <w:rFonts w:ascii="Palatino Linotype" w:hAnsi="Palatino Linotype" w:cs="Arial"/>
          <w:sz w:val="24"/>
          <w:szCs w:val="24"/>
        </w:rPr>
        <w:t>.</w:t>
      </w:r>
      <w:r w:rsidR="00660259" w:rsidRPr="00CB2E7B">
        <w:rPr>
          <w:rFonts w:ascii="Palatino Linotype" w:hAnsi="Palatino Linotype" w:cs="Arial"/>
          <w:sz w:val="24"/>
          <w:szCs w:val="24"/>
        </w:rPr>
        <w:t xml:space="preserve"> </w:t>
      </w:r>
      <w:r w:rsidR="002D5499" w:rsidRPr="00CB2E7B">
        <w:rPr>
          <w:rFonts w:ascii="Palatino Linotype" w:hAnsi="Palatino Linotype" w:cs="Arial"/>
          <w:sz w:val="24"/>
          <w:szCs w:val="24"/>
        </w:rPr>
        <w:t>B</w:t>
      </w:r>
      <w:r w:rsidR="00660259" w:rsidRPr="00CB2E7B">
        <w:rPr>
          <w:rFonts w:ascii="Palatino Linotype" w:hAnsi="Palatino Linotype" w:cs="Arial"/>
          <w:sz w:val="24"/>
          <w:szCs w:val="24"/>
        </w:rPr>
        <w:t>ajo dicha aseveración, tengo la certeza de que el actuar de la ponencia es con único fin de brindar un pro</w:t>
      </w:r>
      <w:r w:rsidR="002D5499" w:rsidRPr="00CB2E7B">
        <w:rPr>
          <w:rFonts w:ascii="Palatino Linotype" w:hAnsi="Palatino Linotype" w:cs="Arial"/>
          <w:sz w:val="24"/>
          <w:szCs w:val="24"/>
        </w:rPr>
        <w:t>cedimiento expedito y sencillo, para así</w:t>
      </w:r>
      <w:r w:rsidR="00660259" w:rsidRPr="00CB2E7B">
        <w:rPr>
          <w:rFonts w:ascii="Palatino Linotype" w:hAnsi="Palatino Linotype" w:cs="Arial"/>
          <w:sz w:val="24"/>
          <w:szCs w:val="24"/>
        </w:rPr>
        <w:t xml:space="preserve"> dar cabal cumplim</w:t>
      </w:r>
      <w:r w:rsidR="00890D79" w:rsidRPr="00CB2E7B">
        <w:rPr>
          <w:rFonts w:ascii="Palatino Linotype" w:hAnsi="Palatino Linotype" w:cs="Arial"/>
          <w:sz w:val="24"/>
          <w:szCs w:val="24"/>
        </w:rPr>
        <w:t>iento al derecho ejercido por parte</w:t>
      </w:r>
      <w:r w:rsidR="00660259" w:rsidRPr="00CB2E7B">
        <w:rPr>
          <w:rFonts w:ascii="Palatino Linotype" w:hAnsi="Palatino Linotype" w:cs="Arial"/>
          <w:sz w:val="24"/>
          <w:szCs w:val="24"/>
        </w:rPr>
        <w:t xml:space="preserve"> recurrente</w:t>
      </w:r>
      <w:r w:rsidR="002D5499" w:rsidRPr="00CB2E7B">
        <w:rPr>
          <w:rFonts w:ascii="Palatino Linotype" w:hAnsi="Palatino Linotype" w:cs="Arial"/>
          <w:sz w:val="24"/>
          <w:szCs w:val="24"/>
        </w:rPr>
        <w:t xml:space="preserve"> en el menor tiempo posible</w:t>
      </w:r>
      <w:r w:rsidR="00660259" w:rsidRPr="00CB2E7B">
        <w:rPr>
          <w:rFonts w:ascii="Palatino Linotype" w:hAnsi="Palatino Linotype" w:cs="Arial"/>
          <w:sz w:val="24"/>
          <w:szCs w:val="24"/>
        </w:rPr>
        <w:t xml:space="preserve">, sin embargo, al realizar una suplencia como la que se llevó a cabo en el presente </w:t>
      </w:r>
      <w:r w:rsidR="00660259" w:rsidRPr="00CB2E7B">
        <w:rPr>
          <w:rFonts w:ascii="Palatino Linotype" w:hAnsi="Palatino Linotype" w:cs="Arial"/>
          <w:sz w:val="24"/>
          <w:szCs w:val="24"/>
        </w:rPr>
        <w:lastRenderedPageBreak/>
        <w:t xml:space="preserve">caso que hoy nos ocupa, nosotros como Órgano Garante del derecho al acceso a la información, estaríamos consintiendo el mal actuar del Sujeto Obligado </w:t>
      </w:r>
      <w:r w:rsidR="002D5499" w:rsidRPr="00CB2E7B">
        <w:rPr>
          <w:rFonts w:ascii="Palatino Linotype" w:hAnsi="Palatino Linotype" w:cs="Arial"/>
          <w:sz w:val="24"/>
          <w:szCs w:val="24"/>
        </w:rPr>
        <w:t>quien, como se ha dicho, se encuentra constreñido en</w:t>
      </w:r>
      <w:r w:rsidR="00660259" w:rsidRPr="00CB2E7B">
        <w:rPr>
          <w:rFonts w:ascii="Palatino Linotype" w:hAnsi="Palatino Linotype" w:cs="Arial"/>
          <w:sz w:val="24"/>
          <w:szCs w:val="24"/>
        </w:rPr>
        <w:t xml:space="preserve"> atender de manera comple</w:t>
      </w:r>
      <w:r w:rsidR="002D5499" w:rsidRPr="00CB2E7B">
        <w:rPr>
          <w:rFonts w:ascii="Palatino Linotype" w:hAnsi="Palatino Linotype" w:cs="Arial"/>
          <w:sz w:val="24"/>
          <w:szCs w:val="24"/>
        </w:rPr>
        <w:t>t</w:t>
      </w:r>
      <w:r w:rsidR="00660259" w:rsidRPr="00CB2E7B">
        <w:rPr>
          <w:rFonts w:ascii="Palatino Linotype" w:hAnsi="Palatino Linotype" w:cs="Arial"/>
          <w:sz w:val="24"/>
          <w:szCs w:val="24"/>
        </w:rPr>
        <w:t xml:space="preserve">a y oportuna las solicitudes que ante él se formulen, lo que en consecuencia puede provocar, que en futuras solicitudes de información y recursos </w:t>
      </w:r>
      <w:r w:rsidR="002D5499" w:rsidRPr="00CB2E7B">
        <w:rPr>
          <w:rFonts w:ascii="Palatino Linotype" w:hAnsi="Palatino Linotype" w:cs="Arial"/>
          <w:sz w:val="24"/>
          <w:szCs w:val="24"/>
        </w:rPr>
        <w:t xml:space="preserve">de revisión, </w:t>
      </w:r>
      <w:r w:rsidR="00660259" w:rsidRPr="00CB2E7B">
        <w:rPr>
          <w:rFonts w:ascii="Palatino Linotype" w:hAnsi="Palatino Linotype" w:cs="Arial"/>
          <w:sz w:val="24"/>
          <w:szCs w:val="24"/>
        </w:rPr>
        <w:t xml:space="preserve">el Sujeto Obligado se limite </w:t>
      </w:r>
      <w:r w:rsidR="002D5499" w:rsidRPr="00CB2E7B">
        <w:rPr>
          <w:rFonts w:ascii="Palatino Linotype" w:hAnsi="Palatino Linotype" w:cs="Arial"/>
          <w:sz w:val="24"/>
          <w:szCs w:val="24"/>
        </w:rPr>
        <w:t xml:space="preserve">solamente </w:t>
      </w:r>
      <w:r w:rsidR="00660259" w:rsidRPr="00CB2E7B">
        <w:rPr>
          <w:rFonts w:ascii="Palatino Linotype" w:hAnsi="Palatino Linotype" w:cs="Arial"/>
          <w:sz w:val="24"/>
          <w:szCs w:val="24"/>
        </w:rPr>
        <w:t>a entregar parte de lo solicitado, considerando que este Instituto realizará la debida suplencia para garantizar el cabal cumplimiento</w:t>
      </w:r>
      <w:r w:rsidRPr="00CB2E7B">
        <w:rPr>
          <w:rFonts w:ascii="Palatino Linotype" w:hAnsi="Palatino Linotype" w:cs="Arial"/>
          <w:sz w:val="24"/>
          <w:szCs w:val="24"/>
        </w:rPr>
        <w:t xml:space="preserve"> del derecho de los accionantes.</w:t>
      </w:r>
    </w:p>
    <w:p w:rsidR="00890D79" w:rsidRPr="00CB2E7B" w:rsidRDefault="00890D79" w:rsidP="00890D79">
      <w:pPr>
        <w:pStyle w:val="Prrafodelista"/>
        <w:spacing w:after="0" w:line="360" w:lineRule="auto"/>
        <w:ind w:left="426"/>
        <w:jc w:val="both"/>
        <w:rPr>
          <w:rFonts w:ascii="Palatino Linotype" w:hAnsi="Palatino Linotype" w:cs="Arial"/>
          <w:sz w:val="24"/>
          <w:szCs w:val="24"/>
        </w:rPr>
      </w:pPr>
    </w:p>
    <w:p w:rsidR="00890D79" w:rsidRPr="00CB2E7B" w:rsidRDefault="00890D79" w:rsidP="00530CB3">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Si bien, la normatividad en materia contempla en el artículo 13 y 181 lo  siguiente:</w:t>
      </w:r>
    </w:p>
    <w:p w:rsidR="00890D79" w:rsidRPr="00CB2E7B" w:rsidRDefault="00890D79" w:rsidP="00890D79">
      <w:pPr>
        <w:pStyle w:val="Prrafodelista"/>
        <w:rPr>
          <w:rFonts w:ascii="Palatino Linotype" w:hAnsi="Palatino Linotype" w:cs="Arial"/>
          <w:sz w:val="24"/>
          <w:szCs w:val="24"/>
        </w:rPr>
      </w:pPr>
    </w:p>
    <w:p w:rsidR="00890D79" w:rsidRPr="00CB2E7B" w:rsidRDefault="00890D79" w:rsidP="00890D79">
      <w:pPr>
        <w:autoSpaceDE w:val="0"/>
        <w:autoSpaceDN w:val="0"/>
        <w:adjustRightInd w:val="0"/>
        <w:spacing w:after="0" w:line="240" w:lineRule="auto"/>
        <w:ind w:left="567" w:right="616"/>
        <w:jc w:val="both"/>
        <w:rPr>
          <w:rFonts w:ascii="Palatino Linotype" w:hAnsi="Palatino Linotype" w:cs="Bookman Old Style"/>
          <w:i/>
          <w:sz w:val="24"/>
          <w:szCs w:val="24"/>
        </w:rPr>
      </w:pPr>
      <w:r w:rsidRPr="00CB2E7B">
        <w:rPr>
          <w:rFonts w:ascii="Palatino Linotype" w:hAnsi="Palatino Linotype" w:cs="Bookman Old Style,Bold"/>
          <w:b/>
          <w:bCs/>
          <w:i/>
          <w:sz w:val="24"/>
          <w:szCs w:val="24"/>
        </w:rPr>
        <w:t xml:space="preserve">Artículo 13. </w:t>
      </w:r>
      <w:r w:rsidRPr="00CB2E7B">
        <w:rPr>
          <w:rFonts w:ascii="Palatino Linotype" w:hAnsi="Palatino Linotype" w:cs="Bookman Old Style"/>
          <w:i/>
          <w:sz w:val="24"/>
          <w:szCs w:val="24"/>
        </w:rPr>
        <w:t>El Instituto, en el ámbito de sus atribuciones, deberá suplir cualquier deficiencia para garantizar el ejercicio del derecho de acceso a la información.</w:t>
      </w:r>
    </w:p>
    <w:p w:rsidR="00890D79" w:rsidRPr="00CB2E7B" w:rsidRDefault="00890D79" w:rsidP="00890D79">
      <w:pPr>
        <w:autoSpaceDE w:val="0"/>
        <w:autoSpaceDN w:val="0"/>
        <w:adjustRightInd w:val="0"/>
        <w:spacing w:after="0" w:line="240" w:lineRule="auto"/>
        <w:ind w:left="567" w:right="616"/>
        <w:jc w:val="both"/>
        <w:rPr>
          <w:rFonts w:ascii="Palatino Linotype" w:hAnsi="Palatino Linotype" w:cs="Bookman Old Style"/>
          <w:i/>
          <w:sz w:val="24"/>
          <w:szCs w:val="24"/>
        </w:rPr>
      </w:pPr>
    </w:p>
    <w:p w:rsidR="00890D79" w:rsidRPr="00CB2E7B" w:rsidRDefault="00890D79" w:rsidP="00890D79">
      <w:pPr>
        <w:autoSpaceDE w:val="0"/>
        <w:autoSpaceDN w:val="0"/>
        <w:adjustRightInd w:val="0"/>
        <w:spacing w:after="0" w:line="240" w:lineRule="auto"/>
        <w:ind w:left="567" w:right="616"/>
        <w:jc w:val="both"/>
        <w:rPr>
          <w:rFonts w:ascii="Palatino Linotype" w:hAnsi="Palatino Linotype" w:cs="Bookman Old Style"/>
          <w:i/>
          <w:sz w:val="24"/>
          <w:szCs w:val="24"/>
        </w:rPr>
      </w:pPr>
      <w:r w:rsidRPr="00CB2E7B">
        <w:rPr>
          <w:rFonts w:ascii="Palatino Linotype" w:hAnsi="Palatino Linotype" w:cs="Bookman Old Style"/>
          <w:i/>
          <w:sz w:val="24"/>
          <w:szCs w:val="24"/>
        </w:rPr>
        <w:t>Artículo 181. …</w:t>
      </w:r>
    </w:p>
    <w:p w:rsidR="00890D79" w:rsidRPr="00CB2E7B" w:rsidRDefault="00890D79" w:rsidP="00890D79">
      <w:pPr>
        <w:autoSpaceDE w:val="0"/>
        <w:autoSpaceDN w:val="0"/>
        <w:adjustRightInd w:val="0"/>
        <w:spacing w:after="0" w:line="240" w:lineRule="auto"/>
        <w:ind w:left="567" w:right="616"/>
        <w:jc w:val="both"/>
        <w:rPr>
          <w:rFonts w:ascii="Palatino Linotype" w:hAnsi="Palatino Linotype" w:cs="Bookman Old Style"/>
          <w:i/>
          <w:sz w:val="24"/>
          <w:szCs w:val="24"/>
        </w:rPr>
      </w:pPr>
      <w:r w:rsidRPr="00CB2E7B">
        <w:rPr>
          <w:rFonts w:ascii="Palatino Linotype" w:hAnsi="Palatino Linotype" w:cs="Bookman Old Style"/>
          <w:i/>
          <w:sz w:val="24"/>
          <w:szCs w:val="24"/>
        </w:rPr>
        <w:t>…</w:t>
      </w:r>
    </w:p>
    <w:p w:rsidR="00890D79" w:rsidRPr="00CB2E7B" w:rsidRDefault="00890D79" w:rsidP="00890D79">
      <w:pPr>
        <w:autoSpaceDE w:val="0"/>
        <w:autoSpaceDN w:val="0"/>
        <w:adjustRightInd w:val="0"/>
        <w:spacing w:after="0" w:line="240" w:lineRule="auto"/>
        <w:ind w:left="567" w:right="616"/>
        <w:jc w:val="both"/>
        <w:rPr>
          <w:rFonts w:ascii="Palatino Linotype" w:hAnsi="Palatino Linotype" w:cs="Bookman Old Style"/>
          <w:i/>
          <w:sz w:val="24"/>
          <w:szCs w:val="24"/>
        </w:rPr>
      </w:pPr>
    </w:p>
    <w:p w:rsidR="00890D79" w:rsidRPr="00CB2E7B" w:rsidRDefault="00890D79" w:rsidP="00890D79">
      <w:pPr>
        <w:autoSpaceDE w:val="0"/>
        <w:autoSpaceDN w:val="0"/>
        <w:adjustRightInd w:val="0"/>
        <w:spacing w:after="0" w:line="240" w:lineRule="auto"/>
        <w:ind w:left="567" w:right="616"/>
        <w:jc w:val="both"/>
        <w:rPr>
          <w:rFonts w:ascii="Palatino Linotype" w:hAnsi="Palatino Linotype" w:cs="Arial"/>
          <w:i/>
          <w:sz w:val="24"/>
          <w:szCs w:val="24"/>
        </w:rPr>
      </w:pPr>
      <w:r w:rsidRPr="00CB2E7B">
        <w:rPr>
          <w:rFonts w:ascii="Palatino Linotype" w:hAnsi="Palatino Linotype" w:cs="Bookman Old Style"/>
          <w:i/>
          <w:sz w:val="24"/>
          <w:szCs w:val="24"/>
        </w:rPr>
        <w:t>Durante el procedimiento deberá aplicarse la suplencia de la queja a favor del recurrente, sin cambiar los hechos expuestos, asegurándose de que las partes puedan presentar, de manera oral o escrita, los argumentos que funden y motiven sus pretensiones.</w:t>
      </w:r>
      <w:r w:rsidRPr="00CB2E7B">
        <w:rPr>
          <w:rFonts w:ascii="Palatino Linotype" w:hAnsi="Palatino Linotype" w:cs="Arial"/>
          <w:i/>
          <w:sz w:val="24"/>
          <w:szCs w:val="24"/>
        </w:rPr>
        <w:t xml:space="preserve"> </w:t>
      </w:r>
    </w:p>
    <w:p w:rsidR="0025332E" w:rsidRPr="00CB2E7B" w:rsidRDefault="0025332E" w:rsidP="00530CB3">
      <w:pPr>
        <w:pStyle w:val="Prrafodelista"/>
        <w:spacing w:after="0" w:line="360" w:lineRule="auto"/>
        <w:ind w:left="426"/>
        <w:jc w:val="both"/>
        <w:rPr>
          <w:rFonts w:ascii="Palatino Linotype" w:hAnsi="Palatino Linotype" w:cs="Arial"/>
          <w:sz w:val="24"/>
          <w:szCs w:val="24"/>
        </w:rPr>
      </w:pPr>
    </w:p>
    <w:p w:rsidR="00890D79" w:rsidRPr="00CB2E7B" w:rsidRDefault="00890D79" w:rsidP="0021151F">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De los preceptos legales se entiende que el Órgano Garante se encuentra facultado para suplir cualquier deficiencia</w:t>
      </w:r>
      <w:r w:rsidR="00CB2E7B" w:rsidRPr="00CB2E7B">
        <w:rPr>
          <w:rFonts w:ascii="Palatino Linotype" w:hAnsi="Palatino Linotype" w:cs="Arial"/>
          <w:sz w:val="24"/>
          <w:szCs w:val="24"/>
        </w:rPr>
        <w:t xml:space="preserve"> durante el procedimiento</w:t>
      </w:r>
      <w:r w:rsidRPr="00CB2E7B">
        <w:rPr>
          <w:rFonts w:ascii="Palatino Linotype" w:hAnsi="Palatino Linotype" w:cs="Arial"/>
          <w:sz w:val="24"/>
          <w:szCs w:val="24"/>
        </w:rPr>
        <w:t xml:space="preserve">, sin </w:t>
      </w:r>
      <w:r w:rsidRPr="00CB2E7B">
        <w:rPr>
          <w:rFonts w:ascii="Palatino Linotype" w:hAnsi="Palatino Linotype" w:cs="Arial"/>
          <w:sz w:val="24"/>
          <w:szCs w:val="24"/>
        </w:rPr>
        <w:lastRenderedPageBreak/>
        <w:t xml:space="preserve">embargo, en una interpretación lógica, debe entenderse que son como lo dice el artículo 181, </w:t>
      </w:r>
      <w:r w:rsidR="00CB2E7B" w:rsidRPr="00CB2E7B">
        <w:rPr>
          <w:rFonts w:ascii="Palatino Linotype" w:hAnsi="Palatino Linotype" w:cs="Arial"/>
          <w:b/>
          <w:sz w:val="24"/>
          <w:szCs w:val="24"/>
        </w:rPr>
        <w:t>solo debe efectuarse a favor de los particulares</w:t>
      </w:r>
      <w:r w:rsidR="00CB2E7B" w:rsidRPr="00CB2E7B">
        <w:rPr>
          <w:rFonts w:ascii="Palatino Linotype" w:hAnsi="Palatino Linotype" w:cs="Arial"/>
          <w:sz w:val="24"/>
          <w:szCs w:val="24"/>
        </w:rPr>
        <w:t>, en razón a que éstos pueden ejercer el procedimiento de acceso a la información sin necesidad de acudir a un profesional o especialista en la materia, mientras que por otro lado, se supone que los Sujetos Obligados si deben contar con personal especializado en la materia de acceso a la información, por dicha razón, la suplencia de la queja de la que hace mención la Ley de Transparencia y Acceso a la Información Pública del Estado de México y Municipios, no debe ser a favor del Sujeto Obligado.</w:t>
      </w:r>
    </w:p>
    <w:p w:rsidR="00890D79" w:rsidRPr="00CB2E7B" w:rsidRDefault="00890D79" w:rsidP="00890D79">
      <w:pPr>
        <w:pStyle w:val="Prrafodelista"/>
        <w:spacing w:after="0" w:line="360" w:lineRule="auto"/>
        <w:ind w:left="426"/>
        <w:jc w:val="both"/>
        <w:rPr>
          <w:rFonts w:ascii="Palatino Linotype" w:hAnsi="Palatino Linotype" w:cs="Arial"/>
          <w:sz w:val="24"/>
          <w:szCs w:val="24"/>
        </w:rPr>
      </w:pPr>
    </w:p>
    <w:p w:rsidR="00D35091" w:rsidRPr="00CB2E7B" w:rsidRDefault="0025332E" w:rsidP="0021151F">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 xml:space="preserve">Asimismo, en el presente caso en particular no se comparte que la ponencia </w:t>
      </w:r>
      <w:proofErr w:type="spellStart"/>
      <w:r w:rsidRPr="00CB2E7B">
        <w:rPr>
          <w:rFonts w:ascii="Palatino Linotype" w:hAnsi="Palatino Linotype" w:cs="Arial"/>
          <w:sz w:val="24"/>
          <w:szCs w:val="24"/>
        </w:rPr>
        <w:t>resolutora</w:t>
      </w:r>
      <w:proofErr w:type="spellEnd"/>
      <w:r w:rsidRPr="00CB2E7B">
        <w:rPr>
          <w:rFonts w:ascii="Palatino Linotype" w:hAnsi="Palatino Linotype" w:cs="Arial"/>
          <w:sz w:val="24"/>
          <w:szCs w:val="24"/>
        </w:rPr>
        <w:t xml:space="preserve"> haya realizado la suplencia a la deficiencia del Sujeto Obligado, toda vez que si bien es cierto da rapidez </w:t>
      </w:r>
      <w:r w:rsidR="00771F1D" w:rsidRPr="00CB2E7B">
        <w:rPr>
          <w:rFonts w:ascii="Palatino Linotype" w:hAnsi="Palatino Linotype" w:cs="Arial"/>
          <w:sz w:val="24"/>
          <w:szCs w:val="24"/>
        </w:rPr>
        <w:t xml:space="preserve">y celeridad </w:t>
      </w:r>
      <w:r w:rsidRPr="00CB2E7B">
        <w:rPr>
          <w:rFonts w:ascii="Palatino Linotype" w:hAnsi="Palatino Linotype" w:cs="Arial"/>
          <w:sz w:val="24"/>
          <w:szCs w:val="24"/>
        </w:rPr>
        <w:t>al procedimiento, pero también es cierto que existen más requerimientos que no fueron colmados, en consecuencia, se tiene que el derecho de acceso a la información que ejerció el particular se encuentra afectado y quien tiene el deber de reparar cualquier posible afectación es el Sujeto Obligado</w:t>
      </w:r>
      <w:r w:rsidR="00771F1D" w:rsidRPr="00CB2E7B">
        <w:rPr>
          <w:rFonts w:ascii="Palatino Linotype" w:hAnsi="Palatino Linotype" w:cs="Arial"/>
          <w:sz w:val="24"/>
          <w:szCs w:val="24"/>
        </w:rPr>
        <w:t xml:space="preserve"> conforme a lo estipulado en el artículo 176 de la Ley de Transparencia y Acceso a la Información Pública del Estado de México y Municipios</w:t>
      </w:r>
      <w:r w:rsidR="00CB2E7B" w:rsidRPr="00CB2E7B">
        <w:rPr>
          <w:rFonts w:ascii="Palatino Linotype" w:hAnsi="Palatino Linotype" w:cs="Arial"/>
          <w:sz w:val="24"/>
          <w:szCs w:val="24"/>
        </w:rPr>
        <w:t>, má</w:t>
      </w:r>
      <w:r w:rsidRPr="00CB2E7B">
        <w:rPr>
          <w:rFonts w:ascii="Palatino Linotype" w:hAnsi="Palatino Linotype" w:cs="Arial"/>
          <w:sz w:val="24"/>
          <w:szCs w:val="24"/>
        </w:rPr>
        <w:t xml:space="preserve">s no este Órgano Garante, </w:t>
      </w:r>
      <w:r w:rsidR="00771F1D" w:rsidRPr="00CB2E7B">
        <w:rPr>
          <w:rFonts w:ascii="Palatino Linotype" w:hAnsi="Palatino Linotype" w:cs="Arial"/>
          <w:sz w:val="24"/>
          <w:szCs w:val="24"/>
        </w:rPr>
        <w:t xml:space="preserve">puesto que </w:t>
      </w:r>
      <w:r w:rsidRPr="00CB2E7B">
        <w:rPr>
          <w:rFonts w:ascii="Palatino Linotype" w:hAnsi="Palatino Linotype" w:cs="Arial"/>
          <w:sz w:val="24"/>
          <w:szCs w:val="24"/>
        </w:rPr>
        <w:t xml:space="preserve">este último se limita a garantizar el cumplimiento </w:t>
      </w:r>
      <w:r w:rsidR="00771F1D" w:rsidRPr="00CB2E7B">
        <w:rPr>
          <w:rFonts w:ascii="Palatino Linotype" w:hAnsi="Palatino Linotype" w:cs="Arial"/>
          <w:sz w:val="24"/>
          <w:szCs w:val="24"/>
        </w:rPr>
        <w:t xml:space="preserve">al derecho de acceso a la información, </w:t>
      </w:r>
      <w:r w:rsidR="00530CB3" w:rsidRPr="00CB2E7B">
        <w:rPr>
          <w:rFonts w:ascii="Palatino Linotype" w:hAnsi="Palatino Linotype" w:cs="Arial"/>
          <w:sz w:val="24"/>
          <w:szCs w:val="24"/>
        </w:rPr>
        <w:t>má</w:t>
      </w:r>
      <w:r w:rsidRPr="00CB2E7B">
        <w:rPr>
          <w:rFonts w:ascii="Palatino Linotype" w:hAnsi="Palatino Linotype" w:cs="Arial"/>
          <w:sz w:val="24"/>
          <w:szCs w:val="24"/>
        </w:rPr>
        <w:t xml:space="preserve">s no </w:t>
      </w:r>
      <w:r w:rsidR="00771F1D" w:rsidRPr="00CB2E7B">
        <w:rPr>
          <w:rFonts w:ascii="Palatino Linotype" w:hAnsi="Palatino Linotype" w:cs="Arial"/>
          <w:sz w:val="24"/>
          <w:szCs w:val="24"/>
        </w:rPr>
        <w:t>tiene la obligación de atender los requerimientos planteados por los particulares</w:t>
      </w:r>
      <w:r w:rsidR="00890D79" w:rsidRPr="00CB2E7B">
        <w:rPr>
          <w:rFonts w:ascii="Palatino Linotype" w:hAnsi="Palatino Linotype" w:cs="Arial"/>
          <w:sz w:val="24"/>
          <w:szCs w:val="24"/>
        </w:rPr>
        <w:t>.</w:t>
      </w:r>
    </w:p>
    <w:p w:rsidR="004074C0" w:rsidRPr="00CB2E7B" w:rsidRDefault="00F7333F" w:rsidP="00530CB3">
      <w:pPr>
        <w:pStyle w:val="Ttulo1"/>
        <w:numPr>
          <w:ilvl w:val="0"/>
          <w:numId w:val="37"/>
        </w:numPr>
        <w:ind w:left="1134"/>
        <w:rPr>
          <w:szCs w:val="24"/>
        </w:rPr>
      </w:pPr>
      <w:r w:rsidRPr="00CB2E7B">
        <w:rPr>
          <w:szCs w:val="24"/>
        </w:rPr>
        <w:lastRenderedPageBreak/>
        <w:t xml:space="preserve"> </w:t>
      </w:r>
      <w:bookmarkStart w:id="4" w:name="_Toc527987653"/>
      <w:r w:rsidRPr="00CB2E7B">
        <w:rPr>
          <w:szCs w:val="24"/>
        </w:rPr>
        <w:t>Conclusión.</w:t>
      </w:r>
      <w:bookmarkEnd w:id="4"/>
    </w:p>
    <w:p w:rsidR="00771F1D" w:rsidRPr="00CB2E7B" w:rsidRDefault="00771F1D" w:rsidP="00530CB3">
      <w:pPr>
        <w:ind w:left="426"/>
        <w:rPr>
          <w:rFonts w:ascii="Palatino Linotype" w:hAnsi="Palatino Linotype"/>
          <w:sz w:val="24"/>
          <w:szCs w:val="24"/>
        </w:rPr>
      </w:pPr>
    </w:p>
    <w:p w:rsidR="00C54DC0" w:rsidRPr="00CB2E7B" w:rsidRDefault="0069542E" w:rsidP="00530CB3">
      <w:pPr>
        <w:pStyle w:val="Prrafodelista"/>
        <w:numPr>
          <w:ilvl w:val="0"/>
          <w:numId w:val="11"/>
        </w:numPr>
        <w:spacing w:after="0" w:line="360" w:lineRule="auto"/>
        <w:ind w:left="426"/>
        <w:jc w:val="both"/>
        <w:rPr>
          <w:rFonts w:ascii="Palatino Linotype" w:hAnsi="Palatino Linotype" w:cs="Arial"/>
          <w:sz w:val="24"/>
          <w:szCs w:val="24"/>
        </w:rPr>
      </w:pPr>
      <w:r w:rsidRPr="00CB2E7B">
        <w:rPr>
          <w:rFonts w:ascii="Palatino Linotype" w:hAnsi="Palatino Linotype" w:cs="Arial"/>
          <w:sz w:val="24"/>
          <w:szCs w:val="24"/>
        </w:rPr>
        <w:t>Si bien, l</w:t>
      </w:r>
      <w:r w:rsidR="009F7767" w:rsidRPr="00CB2E7B">
        <w:rPr>
          <w:rFonts w:ascii="Palatino Linotype" w:hAnsi="Palatino Linotype" w:cs="Arial"/>
          <w:sz w:val="24"/>
          <w:szCs w:val="24"/>
        </w:rPr>
        <w:t xml:space="preserve">a suplencia a </w:t>
      </w:r>
      <w:r w:rsidRPr="00CB2E7B">
        <w:rPr>
          <w:rFonts w:ascii="Palatino Linotype" w:hAnsi="Palatino Linotype" w:cs="Arial"/>
          <w:sz w:val="24"/>
          <w:szCs w:val="24"/>
        </w:rPr>
        <w:t xml:space="preserve">las deficiencias incurridas por parte de los Sujetos Obligados ayudan a brindar un procedimiento expedito </w:t>
      </w:r>
      <w:r w:rsidR="009F7767" w:rsidRPr="00CB2E7B">
        <w:rPr>
          <w:rFonts w:ascii="Palatino Linotype" w:hAnsi="Palatino Linotype" w:cs="Arial"/>
          <w:sz w:val="24"/>
          <w:szCs w:val="24"/>
        </w:rPr>
        <w:t xml:space="preserve">garantizando que se colme con el derecho de los particulares de </w:t>
      </w:r>
      <w:r w:rsidR="004074C0" w:rsidRPr="00CB2E7B">
        <w:rPr>
          <w:rFonts w:ascii="Palatino Linotype" w:hAnsi="Palatino Linotype" w:cs="Arial"/>
          <w:sz w:val="24"/>
          <w:szCs w:val="24"/>
        </w:rPr>
        <w:t>manera correcta y completa en el</w:t>
      </w:r>
      <w:r w:rsidR="009F7767" w:rsidRPr="00CB2E7B">
        <w:rPr>
          <w:rFonts w:ascii="Palatino Linotype" w:hAnsi="Palatino Linotype" w:cs="Arial"/>
          <w:sz w:val="24"/>
          <w:szCs w:val="24"/>
        </w:rPr>
        <w:t xml:space="preserve"> menor tiempo posible, resarciendo así, cualquier posible afectación que</w:t>
      </w:r>
      <w:r w:rsidR="004074C0" w:rsidRPr="00CB2E7B">
        <w:rPr>
          <w:rFonts w:ascii="Palatino Linotype" w:hAnsi="Palatino Linotype" w:cs="Arial"/>
          <w:sz w:val="24"/>
          <w:szCs w:val="24"/>
        </w:rPr>
        <w:t xml:space="preserve"> se haya generado</w:t>
      </w:r>
      <w:r w:rsidR="009F7767" w:rsidRPr="00CB2E7B">
        <w:rPr>
          <w:rFonts w:ascii="Palatino Linotype" w:hAnsi="Palatino Linotype" w:cs="Arial"/>
          <w:sz w:val="24"/>
          <w:szCs w:val="24"/>
        </w:rPr>
        <w:t xml:space="preserve"> mediante la respuesta a la solicitud</w:t>
      </w:r>
      <w:r w:rsidR="00A2127D" w:rsidRPr="00CB2E7B">
        <w:rPr>
          <w:rFonts w:ascii="Palatino Linotype" w:hAnsi="Palatino Linotype" w:cs="Arial"/>
          <w:sz w:val="24"/>
          <w:szCs w:val="24"/>
        </w:rPr>
        <w:t>, sin embargo, da pie a que los Sujetos Obligados en procedimientos futuros, en respuesta a las solicitudes no brinden la información oportuna y completa, teniendo la certeza de que nosotros como Órgano Garante, supliremos las deficiencias suscitadas, provocando así, un daño mayor</w:t>
      </w:r>
      <w:r w:rsidR="0025332E" w:rsidRPr="00CB2E7B">
        <w:rPr>
          <w:rFonts w:ascii="Palatino Linotype" w:hAnsi="Palatino Linotype" w:cs="Arial"/>
          <w:sz w:val="24"/>
          <w:szCs w:val="24"/>
        </w:rPr>
        <w:t xml:space="preserve"> al </w:t>
      </w:r>
      <w:r w:rsidR="00A2127D" w:rsidRPr="00CB2E7B">
        <w:rPr>
          <w:rFonts w:ascii="Palatino Linotype" w:hAnsi="Palatino Linotype" w:cs="Arial"/>
          <w:sz w:val="24"/>
          <w:szCs w:val="24"/>
        </w:rPr>
        <w:t>be</w:t>
      </w:r>
      <w:r w:rsidR="00B06DD6" w:rsidRPr="00CB2E7B">
        <w:rPr>
          <w:rFonts w:ascii="Palatino Linotype" w:hAnsi="Palatino Linotype" w:cs="Arial"/>
          <w:sz w:val="24"/>
          <w:szCs w:val="24"/>
        </w:rPr>
        <w:t>neficio que se pretende otorgar.</w:t>
      </w:r>
    </w:p>
    <w:p w:rsidR="004800C4" w:rsidRPr="00CB2E7B" w:rsidRDefault="004800C4" w:rsidP="00CD766A">
      <w:pPr>
        <w:spacing w:after="0" w:line="360" w:lineRule="auto"/>
        <w:jc w:val="both"/>
        <w:rPr>
          <w:rFonts w:ascii="Palatino Linotype" w:hAnsi="Palatino Linotype" w:cs="Arial"/>
          <w:sz w:val="24"/>
          <w:szCs w:val="24"/>
        </w:rPr>
      </w:pPr>
    </w:p>
    <w:p w:rsidR="004800C4" w:rsidRDefault="004800C4" w:rsidP="00CD766A">
      <w:pPr>
        <w:spacing w:after="0" w:line="360" w:lineRule="auto"/>
        <w:jc w:val="both"/>
        <w:rPr>
          <w:rFonts w:ascii="Palatino Linotype" w:hAnsi="Palatino Linotype" w:cs="Arial"/>
          <w:sz w:val="24"/>
          <w:szCs w:val="24"/>
        </w:rPr>
      </w:pPr>
    </w:p>
    <w:p w:rsidR="00CB2E7B" w:rsidRDefault="00CB2E7B" w:rsidP="00CD766A">
      <w:pPr>
        <w:spacing w:after="0" w:line="360" w:lineRule="auto"/>
        <w:jc w:val="both"/>
        <w:rPr>
          <w:rFonts w:ascii="Palatino Linotype" w:hAnsi="Palatino Linotype" w:cs="Arial"/>
          <w:sz w:val="24"/>
          <w:szCs w:val="24"/>
        </w:rPr>
      </w:pPr>
    </w:p>
    <w:p w:rsidR="00CB2E7B" w:rsidRPr="00CB2E7B" w:rsidRDefault="00CB2E7B" w:rsidP="00CD766A">
      <w:pPr>
        <w:spacing w:after="0" w:line="360" w:lineRule="auto"/>
        <w:jc w:val="both"/>
        <w:rPr>
          <w:rFonts w:ascii="Palatino Linotype" w:hAnsi="Palatino Linotype" w:cs="Arial"/>
          <w:sz w:val="24"/>
          <w:szCs w:val="24"/>
        </w:rPr>
      </w:pPr>
    </w:p>
    <w:p w:rsidR="004800C4" w:rsidRPr="00CB2E7B" w:rsidRDefault="004800C4" w:rsidP="00CD766A">
      <w:pPr>
        <w:spacing w:after="0" w:line="360" w:lineRule="auto"/>
        <w:jc w:val="both"/>
        <w:rPr>
          <w:rFonts w:ascii="Palatino Linotype" w:hAnsi="Palatino Linotype" w:cs="Arial"/>
          <w:sz w:val="24"/>
          <w:szCs w:val="24"/>
        </w:rPr>
      </w:pPr>
    </w:p>
    <w:p w:rsidR="004800C4" w:rsidRPr="00CB2E7B" w:rsidRDefault="004800C4" w:rsidP="00CD766A">
      <w:pPr>
        <w:spacing w:after="0" w:line="360" w:lineRule="auto"/>
        <w:jc w:val="both"/>
        <w:rPr>
          <w:rFonts w:ascii="Palatino Linotype" w:hAnsi="Palatino Linotype" w:cs="Arial"/>
          <w:sz w:val="24"/>
          <w:szCs w:val="24"/>
        </w:rPr>
      </w:pPr>
    </w:p>
    <w:p w:rsidR="00625340" w:rsidRPr="00CB2E7B" w:rsidRDefault="007A14A8"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B703E9" w:rsidRPr="00CB2E7B" w:rsidRDefault="00B703E9" w:rsidP="00625340">
      <w:pPr>
        <w:spacing w:line="360" w:lineRule="auto"/>
        <w:jc w:val="center"/>
        <w:rPr>
          <w:rFonts w:ascii="Palatino Linotype" w:eastAsia="Calibri" w:hAnsi="Palatino Linotype" w:cs="Arial"/>
          <w:b/>
          <w:sz w:val="24"/>
          <w:szCs w:val="24"/>
        </w:rPr>
      </w:pPr>
    </w:p>
    <w:p w:rsidR="00DB6CC1" w:rsidRPr="00CB2E7B" w:rsidRDefault="00DB6CC1" w:rsidP="00DB6CC1">
      <w:pPr>
        <w:spacing w:line="360" w:lineRule="auto"/>
        <w:rPr>
          <w:rFonts w:ascii="Palatino Linotype" w:hAnsi="Palatino Linotype"/>
          <w:sz w:val="24"/>
          <w:szCs w:val="24"/>
        </w:rPr>
      </w:pPr>
      <w:r w:rsidRPr="00CB2E7B">
        <w:rPr>
          <w:rFonts w:ascii="Palatino Linotype" w:eastAsia="Calibri" w:hAnsi="Palatino Linotype" w:cs="Arial"/>
          <w:b/>
          <w:sz w:val="24"/>
          <w:szCs w:val="24"/>
        </w:rPr>
        <w:t>JGLH/ADM</w:t>
      </w:r>
      <w:bookmarkStart w:id="5" w:name="_GoBack"/>
      <w:bookmarkEnd w:id="5"/>
    </w:p>
    <w:sectPr w:rsidR="00DB6CC1" w:rsidRPr="00CB2E7B"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A1A" w:rsidRDefault="00B16A1A" w:rsidP="00DC559A">
      <w:pPr>
        <w:spacing w:after="0" w:line="240" w:lineRule="auto"/>
      </w:pPr>
      <w:r>
        <w:separator/>
      </w:r>
    </w:p>
  </w:endnote>
  <w:endnote w:type="continuationSeparator" w:id="0">
    <w:p w:rsidR="00B16A1A" w:rsidRDefault="00B16A1A"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0006">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0006">
              <w:rPr>
                <w:b/>
                <w:bCs/>
                <w:noProof/>
              </w:rPr>
              <w:t>10</w:t>
            </w:r>
            <w:r>
              <w:rPr>
                <w:b/>
                <w:bCs/>
                <w:sz w:val="24"/>
                <w:szCs w:val="24"/>
              </w:rPr>
              <w:fldChar w:fldCharType="end"/>
            </w:r>
          </w:p>
        </w:sdtContent>
      </w:sdt>
    </w:sdtContent>
  </w:sdt>
  <w:p w:rsidR="00951E8B" w:rsidRDefault="00860006"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A1A" w:rsidRDefault="00B16A1A" w:rsidP="00DC559A">
      <w:pPr>
        <w:spacing w:after="0" w:line="240" w:lineRule="auto"/>
      </w:pPr>
      <w:r>
        <w:separator/>
      </w:r>
    </w:p>
  </w:footnote>
  <w:footnote w:type="continuationSeparator" w:id="0">
    <w:p w:rsidR="00B16A1A" w:rsidRDefault="00B16A1A" w:rsidP="00DC559A">
      <w:pPr>
        <w:spacing w:after="0" w:line="240" w:lineRule="auto"/>
      </w:pPr>
      <w:r>
        <w:continuationSeparator/>
      </w:r>
    </w:p>
  </w:footnote>
  <w:footnote w:id="1">
    <w:p w:rsidR="006B5BD5" w:rsidRPr="00D45A90" w:rsidRDefault="006B5BD5" w:rsidP="006B5BD5">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2">
    <w:p w:rsidR="00CD766A" w:rsidRDefault="00CD766A">
      <w:pPr>
        <w:pStyle w:val="Textonotapie"/>
      </w:pPr>
      <w:r>
        <w:rPr>
          <w:rStyle w:val="Refdenotaalpie"/>
        </w:rPr>
        <w:footnoteRef/>
      </w:r>
      <w:r>
        <w:t xml:space="preserve"> </w:t>
      </w:r>
      <w:r w:rsidR="00660259">
        <w:t>Artículo 150,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600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60006">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86000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600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C0F3F"/>
    <w:multiLevelType w:val="hybridMultilevel"/>
    <w:tmpl w:val="A156042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43">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5"/>
  </w:num>
  <w:num w:numId="3">
    <w:abstractNumId w:val="31"/>
  </w:num>
  <w:num w:numId="4">
    <w:abstractNumId w:val="16"/>
  </w:num>
  <w:num w:numId="5">
    <w:abstractNumId w:val="38"/>
  </w:num>
  <w:num w:numId="6">
    <w:abstractNumId w:val="17"/>
  </w:num>
  <w:num w:numId="7">
    <w:abstractNumId w:val="37"/>
  </w:num>
  <w:num w:numId="8">
    <w:abstractNumId w:val="34"/>
  </w:num>
  <w:num w:numId="9">
    <w:abstractNumId w:val="12"/>
  </w:num>
  <w:num w:numId="10">
    <w:abstractNumId w:val="9"/>
  </w:num>
  <w:num w:numId="11">
    <w:abstractNumId w:val="13"/>
  </w:num>
  <w:num w:numId="12">
    <w:abstractNumId w:val="20"/>
  </w:num>
  <w:num w:numId="13">
    <w:abstractNumId w:val="26"/>
  </w:num>
  <w:num w:numId="14">
    <w:abstractNumId w:val="35"/>
  </w:num>
  <w:num w:numId="15">
    <w:abstractNumId w:val="3"/>
  </w:num>
  <w:num w:numId="16">
    <w:abstractNumId w:val="27"/>
  </w:num>
  <w:num w:numId="17">
    <w:abstractNumId w:val="10"/>
  </w:num>
  <w:num w:numId="18">
    <w:abstractNumId w:val="42"/>
  </w:num>
  <w:num w:numId="19">
    <w:abstractNumId w:val="18"/>
  </w:num>
  <w:num w:numId="20">
    <w:abstractNumId w:val="36"/>
  </w:num>
  <w:num w:numId="21">
    <w:abstractNumId w:val="30"/>
  </w:num>
  <w:num w:numId="22">
    <w:abstractNumId w:val="33"/>
  </w:num>
  <w:num w:numId="23">
    <w:abstractNumId w:val="23"/>
  </w:num>
  <w:num w:numId="24">
    <w:abstractNumId w:val="6"/>
  </w:num>
  <w:num w:numId="25">
    <w:abstractNumId w:val="41"/>
  </w:num>
  <w:num w:numId="26">
    <w:abstractNumId w:val="32"/>
  </w:num>
  <w:num w:numId="27">
    <w:abstractNumId w:val="29"/>
  </w:num>
  <w:num w:numId="28">
    <w:abstractNumId w:val="0"/>
  </w:num>
  <w:num w:numId="29">
    <w:abstractNumId w:val="19"/>
  </w:num>
  <w:num w:numId="30">
    <w:abstractNumId w:val="21"/>
  </w:num>
  <w:num w:numId="31">
    <w:abstractNumId w:val="7"/>
  </w:num>
  <w:num w:numId="32">
    <w:abstractNumId w:val="15"/>
  </w:num>
  <w:num w:numId="33">
    <w:abstractNumId w:val="25"/>
  </w:num>
  <w:num w:numId="34">
    <w:abstractNumId w:val="24"/>
  </w:num>
  <w:num w:numId="35">
    <w:abstractNumId w:val="11"/>
  </w:num>
  <w:num w:numId="36">
    <w:abstractNumId w:val="2"/>
  </w:num>
  <w:num w:numId="37">
    <w:abstractNumId w:val="8"/>
  </w:num>
  <w:num w:numId="38">
    <w:abstractNumId w:val="39"/>
  </w:num>
  <w:num w:numId="39">
    <w:abstractNumId w:val="1"/>
  </w:num>
  <w:num w:numId="40">
    <w:abstractNumId w:val="4"/>
  </w:num>
  <w:num w:numId="41">
    <w:abstractNumId w:val="40"/>
  </w:num>
  <w:num w:numId="42">
    <w:abstractNumId w:val="22"/>
  </w:num>
  <w:num w:numId="43">
    <w:abstractNumId w:val="4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2112E"/>
    <w:rsid w:val="000227F4"/>
    <w:rsid w:val="00026199"/>
    <w:rsid w:val="0002684D"/>
    <w:rsid w:val="00037C7C"/>
    <w:rsid w:val="00064D2B"/>
    <w:rsid w:val="000A12BD"/>
    <w:rsid w:val="000D5811"/>
    <w:rsid w:val="000D79A0"/>
    <w:rsid w:val="000E43AB"/>
    <w:rsid w:val="000F4071"/>
    <w:rsid w:val="00123532"/>
    <w:rsid w:val="00123E07"/>
    <w:rsid w:val="00123E1D"/>
    <w:rsid w:val="00134DA0"/>
    <w:rsid w:val="00141135"/>
    <w:rsid w:val="00145961"/>
    <w:rsid w:val="001620F1"/>
    <w:rsid w:val="00175E9F"/>
    <w:rsid w:val="00183A1B"/>
    <w:rsid w:val="00187E2D"/>
    <w:rsid w:val="001B2F10"/>
    <w:rsid w:val="001B78B7"/>
    <w:rsid w:val="001D09E6"/>
    <w:rsid w:val="001D465C"/>
    <w:rsid w:val="001F1A7A"/>
    <w:rsid w:val="00203EB6"/>
    <w:rsid w:val="0020553B"/>
    <w:rsid w:val="00220BB9"/>
    <w:rsid w:val="00225758"/>
    <w:rsid w:val="002376B4"/>
    <w:rsid w:val="0025332E"/>
    <w:rsid w:val="00260A10"/>
    <w:rsid w:val="00267B88"/>
    <w:rsid w:val="00267F73"/>
    <w:rsid w:val="00274EF3"/>
    <w:rsid w:val="00284349"/>
    <w:rsid w:val="002948E5"/>
    <w:rsid w:val="002959E9"/>
    <w:rsid w:val="002B4023"/>
    <w:rsid w:val="002C430B"/>
    <w:rsid w:val="002D2CD0"/>
    <w:rsid w:val="002D5499"/>
    <w:rsid w:val="002D63B3"/>
    <w:rsid w:val="002F0837"/>
    <w:rsid w:val="00300947"/>
    <w:rsid w:val="00306AE2"/>
    <w:rsid w:val="00311D9E"/>
    <w:rsid w:val="00323DF8"/>
    <w:rsid w:val="00336BC3"/>
    <w:rsid w:val="00340665"/>
    <w:rsid w:val="0034151E"/>
    <w:rsid w:val="003431E5"/>
    <w:rsid w:val="0036287F"/>
    <w:rsid w:val="00384C92"/>
    <w:rsid w:val="00393382"/>
    <w:rsid w:val="0039566E"/>
    <w:rsid w:val="003B6EC6"/>
    <w:rsid w:val="003C35BC"/>
    <w:rsid w:val="003C7564"/>
    <w:rsid w:val="004074C0"/>
    <w:rsid w:val="00432104"/>
    <w:rsid w:val="00435284"/>
    <w:rsid w:val="004665BF"/>
    <w:rsid w:val="004727BE"/>
    <w:rsid w:val="004800C4"/>
    <w:rsid w:val="0048383C"/>
    <w:rsid w:val="004A69D6"/>
    <w:rsid w:val="004B4E07"/>
    <w:rsid w:val="004C273D"/>
    <w:rsid w:val="004C3125"/>
    <w:rsid w:val="004C6910"/>
    <w:rsid w:val="004C73FB"/>
    <w:rsid w:val="004D1010"/>
    <w:rsid w:val="004F3292"/>
    <w:rsid w:val="00517976"/>
    <w:rsid w:val="00530CB3"/>
    <w:rsid w:val="005429BB"/>
    <w:rsid w:val="00546237"/>
    <w:rsid w:val="005471F8"/>
    <w:rsid w:val="0056327C"/>
    <w:rsid w:val="00570DFF"/>
    <w:rsid w:val="00571B97"/>
    <w:rsid w:val="00585BED"/>
    <w:rsid w:val="0059666F"/>
    <w:rsid w:val="005A4257"/>
    <w:rsid w:val="005B54CA"/>
    <w:rsid w:val="005E6A45"/>
    <w:rsid w:val="005F53BB"/>
    <w:rsid w:val="00602A7F"/>
    <w:rsid w:val="00611AB9"/>
    <w:rsid w:val="006207D7"/>
    <w:rsid w:val="00623541"/>
    <w:rsid w:val="00625340"/>
    <w:rsid w:val="00660259"/>
    <w:rsid w:val="006773C0"/>
    <w:rsid w:val="00684D61"/>
    <w:rsid w:val="0069542E"/>
    <w:rsid w:val="006B5BD5"/>
    <w:rsid w:val="006D22C2"/>
    <w:rsid w:val="006E4346"/>
    <w:rsid w:val="006E775A"/>
    <w:rsid w:val="006E7A8B"/>
    <w:rsid w:val="006F18A4"/>
    <w:rsid w:val="00703F02"/>
    <w:rsid w:val="0070418E"/>
    <w:rsid w:val="00712288"/>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6841"/>
    <w:rsid w:val="007B4C9B"/>
    <w:rsid w:val="007D5A9C"/>
    <w:rsid w:val="007D69A7"/>
    <w:rsid w:val="007E514B"/>
    <w:rsid w:val="00803249"/>
    <w:rsid w:val="0080411B"/>
    <w:rsid w:val="008107BE"/>
    <w:rsid w:val="00815B5D"/>
    <w:rsid w:val="00841881"/>
    <w:rsid w:val="00860006"/>
    <w:rsid w:val="00870BA6"/>
    <w:rsid w:val="00890D79"/>
    <w:rsid w:val="008A491D"/>
    <w:rsid w:val="008B4955"/>
    <w:rsid w:val="008F435F"/>
    <w:rsid w:val="00900C7B"/>
    <w:rsid w:val="00917801"/>
    <w:rsid w:val="0092289B"/>
    <w:rsid w:val="00927436"/>
    <w:rsid w:val="009615A4"/>
    <w:rsid w:val="00963FCC"/>
    <w:rsid w:val="00964B55"/>
    <w:rsid w:val="009749F9"/>
    <w:rsid w:val="00992F9E"/>
    <w:rsid w:val="00995EEC"/>
    <w:rsid w:val="009B6AAE"/>
    <w:rsid w:val="009C6D1F"/>
    <w:rsid w:val="009D4B91"/>
    <w:rsid w:val="009E08AF"/>
    <w:rsid w:val="009F7309"/>
    <w:rsid w:val="009F7767"/>
    <w:rsid w:val="00A11153"/>
    <w:rsid w:val="00A143D1"/>
    <w:rsid w:val="00A2127D"/>
    <w:rsid w:val="00A37917"/>
    <w:rsid w:val="00A66803"/>
    <w:rsid w:val="00A801BF"/>
    <w:rsid w:val="00A828B4"/>
    <w:rsid w:val="00A912FC"/>
    <w:rsid w:val="00A947EF"/>
    <w:rsid w:val="00AA45BE"/>
    <w:rsid w:val="00AC07BB"/>
    <w:rsid w:val="00AE30E5"/>
    <w:rsid w:val="00AE455C"/>
    <w:rsid w:val="00AE7918"/>
    <w:rsid w:val="00B02F56"/>
    <w:rsid w:val="00B06DD6"/>
    <w:rsid w:val="00B14EBC"/>
    <w:rsid w:val="00B16A1A"/>
    <w:rsid w:val="00B17543"/>
    <w:rsid w:val="00B3063B"/>
    <w:rsid w:val="00B43601"/>
    <w:rsid w:val="00B47F96"/>
    <w:rsid w:val="00B703E9"/>
    <w:rsid w:val="00B76303"/>
    <w:rsid w:val="00B87289"/>
    <w:rsid w:val="00BC3314"/>
    <w:rsid w:val="00BC7E6A"/>
    <w:rsid w:val="00BD29B2"/>
    <w:rsid w:val="00BD586B"/>
    <w:rsid w:val="00BE26FB"/>
    <w:rsid w:val="00BE6E85"/>
    <w:rsid w:val="00BF0ED2"/>
    <w:rsid w:val="00C00F08"/>
    <w:rsid w:val="00C02AF0"/>
    <w:rsid w:val="00C137A0"/>
    <w:rsid w:val="00C142A8"/>
    <w:rsid w:val="00C230CB"/>
    <w:rsid w:val="00C320A9"/>
    <w:rsid w:val="00C43016"/>
    <w:rsid w:val="00C54DC0"/>
    <w:rsid w:val="00C60B48"/>
    <w:rsid w:val="00C75139"/>
    <w:rsid w:val="00C91DDB"/>
    <w:rsid w:val="00CA1D90"/>
    <w:rsid w:val="00CB290D"/>
    <w:rsid w:val="00CB2E7B"/>
    <w:rsid w:val="00CD3FD7"/>
    <w:rsid w:val="00CD49FA"/>
    <w:rsid w:val="00CD65AA"/>
    <w:rsid w:val="00CD766A"/>
    <w:rsid w:val="00CD77B9"/>
    <w:rsid w:val="00CE64A4"/>
    <w:rsid w:val="00CE6C44"/>
    <w:rsid w:val="00CF05D3"/>
    <w:rsid w:val="00D02606"/>
    <w:rsid w:val="00D0514A"/>
    <w:rsid w:val="00D13632"/>
    <w:rsid w:val="00D35091"/>
    <w:rsid w:val="00D42114"/>
    <w:rsid w:val="00D4328A"/>
    <w:rsid w:val="00D4396D"/>
    <w:rsid w:val="00D5029F"/>
    <w:rsid w:val="00D60041"/>
    <w:rsid w:val="00D62508"/>
    <w:rsid w:val="00D72D15"/>
    <w:rsid w:val="00D91003"/>
    <w:rsid w:val="00D97F8E"/>
    <w:rsid w:val="00DA1785"/>
    <w:rsid w:val="00DA4B4E"/>
    <w:rsid w:val="00DB312C"/>
    <w:rsid w:val="00DB6CC1"/>
    <w:rsid w:val="00DC35D1"/>
    <w:rsid w:val="00DC559A"/>
    <w:rsid w:val="00DE456D"/>
    <w:rsid w:val="00DF36B0"/>
    <w:rsid w:val="00E015EC"/>
    <w:rsid w:val="00E3333F"/>
    <w:rsid w:val="00E40A86"/>
    <w:rsid w:val="00E419FE"/>
    <w:rsid w:val="00E52153"/>
    <w:rsid w:val="00E56EEA"/>
    <w:rsid w:val="00E61BE7"/>
    <w:rsid w:val="00E661C7"/>
    <w:rsid w:val="00E82247"/>
    <w:rsid w:val="00E85FDE"/>
    <w:rsid w:val="00E940EB"/>
    <w:rsid w:val="00E94D66"/>
    <w:rsid w:val="00E96644"/>
    <w:rsid w:val="00E974FA"/>
    <w:rsid w:val="00ED4F35"/>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72C33"/>
    <w:rsid w:val="00F7333F"/>
    <w:rsid w:val="00F77A03"/>
    <w:rsid w:val="00F84DA1"/>
    <w:rsid w:val="00F96926"/>
    <w:rsid w:val="00F9751B"/>
    <w:rsid w:val="00FA00F2"/>
    <w:rsid w:val="00FA79F7"/>
    <w:rsid w:val="00FB30FD"/>
    <w:rsid w:val="00FB4059"/>
    <w:rsid w:val="00FC0FE3"/>
    <w:rsid w:val="00FC3ED9"/>
    <w:rsid w:val="00FF4B70"/>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C2A5-9B39-4216-850E-CBE10DE1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1841</Words>
  <Characters>10127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5</cp:revision>
  <cp:lastPrinted>2018-11-22T01:33:00Z</cp:lastPrinted>
  <dcterms:created xsi:type="dcterms:W3CDTF">2018-11-22T01:33:00Z</dcterms:created>
  <dcterms:modified xsi:type="dcterms:W3CDTF">2018-12-14T20:04:00Z</dcterms:modified>
</cp:coreProperties>
</file>